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BCC80" w14:textId="07633774" w:rsidR="00DD11ED" w:rsidRDefault="00E6069E" w:rsidP="0095322E">
      <w:pPr>
        <w:jc w:val="center"/>
        <w:rPr>
          <w:rFonts w:ascii="Arial" w:hAnsi="Arial" w:cs="Arial"/>
          <w:b/>
          <w:sz w:val="28"/>
          <w:szCs w:val="28"/>
        </w:rPr>
      </w:pPr>
      <w:r w:rsidRPr="00DD11E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26CB3C" wp14:editId="4AFF5399">
            <wp:simplePos x="0" y="0"/>
            <wp:positionH relativeFrom="column">
              <wp:posOffset>6054090</wp:posOffset>
            </wp:positionH>
            <wp:positionV relativeFrom="paragraph">
              <wp:posOffset>170815</wp:posOffset>
            </wp:positionV>
            <wp:extent cx="1160145" cy="499745"/>
            <wp:effectExtent l="0" t="0" r="1905" b="0"/>
            <wp:wrapTight wrapText="bothSides">
              <wp:wrapPolygon edited="0">
                <wp:start x="15961" y="0"/>
                <wp:lineTo x="5320" y="6587"/>
                <wp:lineTo x="2483" y="9057"/>
                <wp:lineTo x="2483" y="13174"/>
                <wp:lineTo x="0" y="16468"/>
                <wp:lineTo x="0" y="20584"/>
                <wp:lineTo x="14897" y="20584"/>
                <wp:lineTo x="21281" y="16468"/>
                <wp:lineTo x="21281" y="2470"/>
                <wp:lineTo x="20217" y="0"/>
                <wp:lineTo x="159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FR_7472_P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F2" w:rsidRPr="00DD11E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B6E57D" wp14:editId="04531F15">
            <wp:simplePos x="0" y="0"/>
            <wp:positionH relativeFrom="column">
              <wp:posOffset>7577455</wp:posOffset>
            </wp:positionH>
            <wp:positionV relativeFrom="paragraph">
              <wp:posOffset>175895</wp:posOffset>
            </wp:positionV>
            <wp:extent cx="1134110" cy="643890"/>
            <wp:effectExtent l="0" t="0" r="8890" b="3810"/>
            <wp:wrapTight wrapText="bothSides">
              <wp:wrapPolygon edited="0">
                <wp:start x="15964" y="0"/>
                <wp:lineTo x="0" y="5751"/>
                <wp:lineTo x="0" y="10864"/>
                <wp:lineTo x="1814" y="20450"/>
                <wp:lineTo x="2177" y="21089"/>
                <wp:lineTo x="14876" y="21089"/>
                <wp:lineTo x="14876" y="20450"/>
                <wp:lineTo x="21406" y="12781"/>
                <wp:lineTo x="21406" y="1917"/>
                <wp:lineTo x="20318" y="0"/>
                <wp:lineTo x="159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EN_7472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1BF5" w14:textId="4036FE28" w:rsidR="00DD11ED" w:rsidRDefault="00DD11ED" w:rsidP="00082E65">
      <w:pPr>
        <w:ind w:right="630"/>
        <w:rPr>
          <w:rFonts w:ascii="Arial" w:hAnsi="Arial" w:cs="Arial"/>
          <w:b/>
          <w:sz w:val="28"/>
          <w:szCs w:val="28"/>
        </w:rPr>
      </w:pPr>
    </w:p>
    <w:p w14:paraId="599BA78F" w14:textId="77777777" w:rsidR="00EC7139" w:rsidRDefault="00EC7139" w:rsidP="00082E65">
      <w:pPr>
        <w:ind w:right="630"/>
        <w:rPr>
          <w:rFonts w:ascii="Arial" w:hAnsi="Arial" w:cs="Arial"/>
          <w:b/>
          <w:sz w:val="28"/>
          <w:szCs w:val="28"/>
        </w:rPr>
      </w:pPr>
    </w:p>
    <w:p w14:paraId="628C3BA7" w14:textId="7B704BF9" w:rsidR="00D4607C" w:rsidRPr="005C714C" w:rsidRDefault="00FE3296" w:rsidP="00E6069E">
      <w:pPr>
        <w:spacing w:after="0"/>
        <w:ind w:right="630"/>
        <w:rPr>
          <w:rFonts w:ascii="Arial" w:hAnsi="Arial" w:cs="Arial"/>
          <w:b/>
          <w:sz w:val="28"/>
          <w:szCs w:val="32"/>
        </w:rPr>
      </w:pPr>
      <w:r w:rsidRPr="005C714C">
        <w:rPr>
          <w:rFonts w:ascii="Arial" w:hAnsi="Arial" w:cs="Arial"/>
          <w:b/>
          <w:sz w:val="28"/>
          <w:szCs w:val="32"/>
        </w:rPr>
        <w:t>Choosing Wisely Canada</w:t>
      </w:r>
      <w:r w:rsidR="006C3E37" w:rsidRPr="005C714C">
        <w:rPr>
          <w:rFonts w:ascii="Arial" w:hAnsi="Arial" w:cs="Arial"/>
          <w:b/>
          <w:sz w:val="28"/>
          <w:szCs w:val="32"/>
        </w:rPr>
        <w:t xml:space="preserve"> Recommendations that Apply to Primary Care</w:t>
      </w:r>
    </w:p>
    <w:p w14:paraId="2FA3046E" w14:textId="008FB1D2" w:rsidR="00804012" w:rsidRPr="00E6069E" w:rsidRDefault="00341841" w:rsidP="00E6069E">
      <w:pPr>
        <w:spacing w:after="0"/>
        <w:ind w:right="629"/>
        <w:rPr>
          <w:rFonts w:ascii="Arial" w:hAnsi="Arial" w:cs="Arial"/>
          <w:sz w:val="24"/>
          <w:szCs w:val="24"/>
        </w:rPr>
      </w:pPr>
      <w:r w:rsidRPr="00E6069E">
        <w:rPr>
          <w:rFonts w:ascii="Arial" w:hAnsi="Arial" w:cs="Arial"/>
          <w:sz w:val="24"/>
          <w:szCs w:val="24"/>
        </w:rPr>
        <w:t xml:space="preserve">Stratified by </w:t>
      </w:r>
      <w:r w:rsidR="00E753EE" w:rsidRPr="00E6069E">
        <w:rPr>
          <w:rFonts w:ascii="Arial" w:hAnsi="Arial" w:cs="Arial"/>
          <w:sz w:val="24"/>
          <w:szCs w:val="24"/>
        </w:rPr>
        <w:t>QI Pillar</w:t>
      </w:r>
      <w:r w:rsidR="00E6069E" w:rsidRPr="00E6069E">
        <w:rPr>
          <w:rFonts w:ascii="Arial" w:hAnsi="Arial" w:cs="Arial"/>
          <w:sz w:val="24"/>
          <w:szCs w:val="24"/>
        </w:rPr>
        <w:t xml:space="preserve"> (s</w:t>
      </w:r>
      <w:r w:rsidR="00804012" w:rsidRPr="00E6069E">
        <w:rPr>
          <w:rFonts w:ascii="Arial" w:hAnsi="Arial" w:cs="Arial"/>
          <w:sz w:val="24"/>
          <w:szCs w:val="24"/>
        </w:rPr>
        <w:t>earchable by keyword</w:t>
      </w:r>
      <w:r w:rsidR="00E6069E" w:rsidRPr="00E6069E">
        <w:rPr>
          <w:rFonts w:ascii="Arial" w:hAnsi="Arial" w:cs="Arial"/>
          <w:sz w:val="24"/>
          <w:szCs w:val="24"/>
        </w:rPr>
        <w:t>)</w:t>
      </w:r>
    </w:p>
    <w:p w14:paraId="6B570CD7" w14:textId="7809B13A" w:rsidR="005C714C" w:rsidRPr="00E6069E" w:rsidRDefault="001940FF" w:rsidP="00E6069E">
      <w:pPr>
        <w:spacing w:after="0"/>
        <w:ind w:right="629"/>
        <w:rPr>
          <w:rFonts w:ascii="Arial" w:hAnsi="Arial" w:cs="Arial"/>
          <w:sz w:val="24"/>
          <w:szCs w:val="24"/>
        </w:rPr>
      </w:pPr>
      <w:r w:rsidRPr="00E6069E">
        <w:rPr>
          <w:rFonts w:ascii="Arial" w:hAnsi="Arial" w:cs="Arial"/>
          <w:sz w:val="24"/>
          <w:szCs w:val="24"/>
        </w:rPr>
        <w:t>May</w:t>
      </w:r>
      <w:r w:rsidR="009E7197" w:rsidRPr="00E6069E">
        <w:rPr>
          <w:rFonts w:ascii="Arial" w:hAnsi="Arial" w:cs="Arial"/>
          <w:sz w:val="24"/>
          <w:szCs w:val="24"/>
        </w:rPr>
        <w:t xml:space="preserve"> 2018</w:t>
      </w:r>
    </w:p>
    <w:p w14:paraId="18EDD32D" w14:textId="77777777" w:rsidR="00E6069E" w:rsidRDefault="00E6069E" w:rsidP="00E6069E">
      <w:pPr>
        <w:spacing w:after="0"/>
        <w:ind w:right="629"/>
        <w:rPr>
          <w:rFonts w:ascii="Arial" w:hAnsi="Arial" w:cs="Arial"/>
          <w:sz w:val="28"/>
          <w:szCs w:val="32"/>
        </w:rPr>
      </w:pPr>
    </w:p>
    <w:p w14:paraId="26E0EA1E" w14:textId="77777777" w:rsidR="00E6069E" w:rsidRPr="00E6069E" w:rsidRDefault="00E6069E" w:rsidP="00E6069E">
      <w:pPr>
        <w:spacing w:after="0"/>
        <w:ind w:right="629"/>
        <w:rPr>
          <w:rFonts w:ascii="Arial" w:hAnsi="Arial" w:cs="Arial"/>
          <w:sz w:val="20"/>
          <w:szCs w:val="20"/>
        </w:rPr>
      </w:pPr>
    </w:p>
    <w:p w14:paraId="76FC4DED" w14:textId="0D78F28D" w:rsidR="009933BC" w:rsidRDefault="005C714C" w:rsidP="00082E65">
      <w:pPr>
        <w:ind w:right="630"/>
        <w:rPr>
          <w:rFonts w:ascii="Arial" w:hAnsi="Arial" w:cs="Arial"/>
          <w:i/>
          <w:sz w:val="20"/>
          <w:szCs w:val="20"/>
        </w:rPr>
      </w:pPr>
      <w:r w:rsidRPr="00E6069E">
        <w:rPr>
          <w:rFonts w:ascii="Arial" w:hAnsi="Arial" w:cs="Arial"/>
          <w:i/>
          <w:sz w:val="20"/>
          <w:szCs w:val="20"/>
        </w:rPr>
        <w:t xml:space="preserve">Dr. </w:t>
      </w:r>
      <w:r w:rsidR="002A28E2" w:rsidRPr="00E6069E">
        <w:rPr>
          <w:rFonts w:ascii="Arial" w:hAnsi="Arial" w:cs="Arial"/>
          <w:i/>
          <w:sz w:val="20"/>
          <w:szCs w:val="20"/>
        </w:rPr>
        <w:t xml:space="preserve">Kimberly </w:t>
      </w:r>
      <w:proofErr w:type="spellStart"/>
      <w:r w:rsidRPr="00E6069E">
        <w:rPr>
          <w:rFonts w:ascii="Arial" w:hAnsi="Arial" w:cs="Arial"/>
          <w:i/>
          <w:sz w:val="20"/>
          <w:szCs w:val="20"/>
        </w:rPr>
        <w:t>Wintemute</w:t>
      </w:r>
      <w:proofErr w:type="spellEnd"/>
      <w:r w:rsidRPr="00E6069E">
        <w:rPr>
          <w:rFonts w:ascii="Arial" w:hAnsi="Arial" w:cs="Arial"/>
          <w:i/>
          <w:sz w:val="20"/>
          <w:szCs w:val="20"/>
        </w:rPr>
        <w:t xml:space="preserve"> at Choosing Wisely Canada </w:t>
      </w:r>
      <w:r w:rsidR="001A136E" w:rsidRPr="00E6069E">
        <w:rPr>
          <w:rFonts w:ascii="Arial" w:hAnsi="Arial" w:cs="Arial"/>
          <w:i/>
          <w:sz w:val="20"/>
          <w:szCs w:val="20"/>
        </w:rPr>
        <w:t xml:space="preserve">and Dr. Alex Singer at the University of Manitoba </w:t>
      </w:r>
      <w:proofErr w:type="gramStart"/>
      <w:r w:rsidR="001A136E" w:rsidRPr="00E6069E">
        <w:rPr>
          <w:rFonts w:ascii="Arial" w:hAnsi="Arial" w:cs="Arial"/>
          <w:i/>
          <w:sz w:val="20"/>
          <w:szCs w:val="20"/>
        </w:rPr>
        <w:t>have</w:t>
      </w:r>
      <w:proofErr w:type="gramEnd"/>
      <w:r w:rsidR="001A136E" w:rsidRPr="00E6069E">
        <w:rPr>
          <w:rFonts w:ascii="Arial" w:hAnsi="Arial" w:cs="Arial"/>
          <w:i/>
          <w:sz w:val="20"/>
          <w:szCs w:val="20"/>
        </w:rPr>
        <w:t xml:space="preserve"> compiled a list of r</w:t>
      </w:r>
      <w:r w:rsidRPr="00E6069E">
        <w:rPr>
          <w:rFonts w:ascii="Arial" w:hAnsi="Arial" w:cs="Arial"/>
          <w:i/>
          <w:sz w:val="20"/>
          <w:szCs w:val="20"/>
        </w:rPr>
        <w:t>ecommendations that may pertain to primary care; it draws from the recommendations put forward by all medical societies. It can be helpful in identifying quality improvement opportunities in any practice.</w:t>
      </w:r>
    </w:p>
    <w:p w14:paraId="76CB13CD" w14:textId="77777777" w:rsidR="00E6069E" w:rsidRPr="00E6069E" w:rsidRDefault="00E6069E" w:rsidP="00082E65">
      <w:pPr>
        <w:ind w:right="630"/>
        <w:rPr>
          <w:rFonts w:ascii="Arial" w:hAnsi="Arial" w:cs="Arial"/>
          <w:i/>
          <w:sz w:val="20"/>
          <w:szCs w:val="20"/>
        </w:rPr>
      </w:pPr>
    </w:p>
    <w:p w14:paraId="110B34EF" w14:textId="1F06749E" w:rsidR="000C548A" w:rsidRPr="00E6069E" w:rsidRDefault="000C548A" w:rsidP="00082E65">
      <w:pPr>
        <w:ind w:right="630"/>
        <w:rPr>
          <w:sz w:val="24"/>
          <w:szCs w:val="24"/>
        </w:rPr>
      </w:pPr>
      <w:r w:rsidRPr="00E6069E">
        <w:rPr>
          <w:sz w:val="24"/>
          <w:szCs w:val="24"/>
          <w:u w:val="single"/>
        </w:rPr>
        <w:t>Suggestions for fami</w:t>
      </w:r>
      <w:r w:rsidR="00251638" w:rsidRPr="00E6069E">
        <w:rPr>
          <w:sz w:val="24"/>
          <w:szCs w:val="24"/>
          <w:u w:val="single"/>
        </w:rPr>
        <w:t>ly physicians</w:t>
      </w:r>
      <w:r w:rsidR="00F21214" w:rsidRPr="00E6069E">
        <w:rPr>
          <w:sz w:val="24"/>
          <w:szCs w:val="24"/>
          <w:u w:val="single"/>
        </w:rPr>
        <w:t>, primary care teams,</w:t>
      </w:r>
      <w:r w:rsidR="00251638" w:rsidRPr="00E6069E">
        <w:rPr>
          <w:sz w:val="24"/>
          <w:szCs w:val="24"/>
          <w:u w:val="single"/>
        </w:rPr>
        <w:t xml:space="preserve"> and / or trainees</w:t>
      </w:r>
      <w:r w:rsidRPr="00E6069E">
        <w:rPr>
          <w:sz w:val="24"/>
          <w:szCs w:val="24"/>
          <w:u w:val="single"/>
        </w:rPr>
        <w:t xml:space="preserve"> using this list</w:t>
      </w:r>
      <w:r w:rsidRPr="00E6069E">
        <w:rPr>
          <w:sz w:val="24"/>
          <w:szCs w:val="24"/>
        </w:rPr>
        <w:t>:</w:t>
      </w:r>
    </w:p>
    <w:p w14:paraId="75FA8213" w14:textId="55B4A312" w:rsidR="000C548A" w:rsidRPr="00E6069E" w:rsidRDefault="000C548A" w:rsidP="00082E65">
      <w:pPr>
        <w:pStyle w:val="ListParagraph"/>
        <w:numPr>
          <w:ilvl w:val="0"/>
          <w:numId w:val="2"/>
        </w:numPr>
        <w:ind w:right="630"/>
        <w:rPr>
          <w:sz w:val="24"/>
          <w:szCs w:val="24"/>
        </w:rPr>
      </w:pPr>
      <w:r w:rsidRPr="00E6069E">
        <w:rPr>
          <w:sz w:val="24"/>
          <w:szCs w:val="24"/>
        </w:rPr>
        <w:t xml:space="preserve">Review recommendations to </w:t>
      </w:r>
      <w:r w:rsidR="00FC407F" w:rsidRPr="00E6069E">
        <w:rPr>
          <w:sz w:val="24"/>
          <w:szCs w:val="24"/>
        </w:rPr>
        <w:t>identify those that have relevance</w:t>
      </w:r>
      <w:r w:rsidRPr="00E6069E">
        <w:rPr>
          <w:sz w:val="24"/>
          <w:szCs w:val="24"/>
        </w:rPr>
        <w:t xml:space="preserve"> for your community</w:t>
      </w:r>
      <w:r w:rsidR="00F21214" w:rsidRPr="00E6069E">
        <w:rPr>
          <w:sz w:val="24"/>
          <w:szCs w:val="24"/>
        </w:rPr>
        <w:t>, team</w:t>
      </w:r>
      <w:r w:rsidRPr="00E6069E">
        <w:rPr>
          <w:sz w:val="24"/>
          <w:szCs w:val="24"/>
        </w:rPr>
        <w:t xml:space="preserve"> or practice (Yes or No column).</w:t>
      </w:r>
    </w:p>
    <w:p w14:paraId="265CF729" w14:textId="698DCCC9" w:rsidR="000C548A" w:rsidRPr="00E6069E" w:rsidRDefault="000C548A" w:rsidP="00082E65">
      <w:pPr>
        <w:pStyle w:val="ListParagraph"/>
        <w:numPr>
          <w:ilvl w:val="0"/>
          <w:numId w:val="2"/>
        </w:numPr>
        <w:ind w:right="630"/>
        <w:rPr>
          <w:sz w:val="24"/>
          <w:szCs w:val="24"/>
        </w:rPr>
      </w:pPr>
      <w:r w:rsidRPr="00E6069E">
        <w:rPr>
          <w:sz w:val="24"/>
          <w:szCs w:val="24"/>
        </w:rPr>
        <w:t xml:space="preserve">Review the “Yes” recommendations for ease of </w:t>
      </w:r>
      <w:r w:rsidR="00FC407F" w:rsidRPr="00E6069E">
        <w:rPr>
          <w:sz w:val="24"/>
          <w:szCs w:val="24"/>
        </w:rPr>
        <w:t xml:space="preserve">implementation and measurement. Consider how easy it will be to galvanize interest and energy for the topic; </w:t>
      </w:r>
      <w:r w:rsidR="000562CF" w:rsidRPr="00E6069E">
        <w:rPr>
          <w:sz w:val="24"/>
          <w:szCs w:val="24"/>
        </w:rPr>
        <w:t xml:space="preserve">and </w:t>
      </w:r>
      <w:r w:rsidR="00FC407F" w:rsidRPr="00E6069E">
        <w:rPr>
          <w:sz w:val="24"/>
          <w:szCs w:val="24"/>
        </w:rPr>
        <w:t>where y</w:t>
      </w:r>
      <w:r w:rsidR="004E5BAE" w:rsidRPr="00E6069E">
        <w:rPr>
          <w:sz w:val="24"/>
          <w:szCs w:val="24"/>
        </w:rPr>
        <w:t>ou will get the data (</w:t>
      </w:r>
      <w:proofErr w:type="spellStart"/>
      <w:r w:rsidR="004E5BAE" w:rsidRPr="00E6069E">
        <w:rPr>
          <w:sz w:val="24"/>
          <w:szCs w:val="24"/>
        </w:rPr>
        <w:t>eg</w:t>
      </w:r>
      <w:proofErr w:type="spellEnd"/>
      <w:r w:rsidR="004E5BAE" w:rsidRPr="00E6069E">
        <w:rPr>
          <w:sz w:val="24"/>
          <w:szCs w:val="24"/>
        </w:rPr>
        <w:t>. EMR? Community or hospital lab? H</w:t>
      </w:r>
      <w:r w:rsidR="00FC407F" w:rsidRPr="00E6069E">
        <w:rPr>
          <w:sz w:val="24"/>
          <w:szCs w:val="24"/>
        </w:rPr>
        <w:t>ospital or other database?</w:t>
      </w:r>
      <w:r w:rsidR="00341841" w:rsidRPr="00E6069E">
        <w:rPr>
          <w:sz w:val="24"/>
          <w:szCs w:val="24"/>
        </w:rPr>
        <w:t xml:space="preserve"> Manual tabulations done in your office?</w:t>
      </w:r>
      <w:r w:rsidR="00FC407F" w:rsidRPr="00E6069E">
        <w:rPr>
          <w:sz w:val="24"/>
          <w:szCs w:val="24"/>
        </w:rPr>
        <w:t>). I</w:t>
      </w:r>
      <w:r w:rsidRPr="00E6069E">
        <w:rPr>
          <w:sz w:val="24"/>
          <w:szCs w:val="24"/>
        </w:rPr>
        <w:t xml:space="preserve">ndicate </w:t>
      </w:r>
      <w:r w:rsidR="00FC407F" w:rsidRPr="00E6069E">
        <w:rPr>
          <w:sz w:val="24"/>
          <w:szCs w:val="24"/>
        </w:rPr>
        <w:t xml:space="preserve">in this column </w:t>
      </w:r>
      <w:r w:rsidRPr="00E6069E">
        <w:rPr>
          <w:sz w:val="24"/>
          <w:szCs w:val="24"/>
        </w:rPr>
        <w:t xml:space="preserve">if </w:t>
      </w:r>
      <w:r w:rsidR="00FC407F" w:rsidRPr="00E6069E">
        <w:rPr>
          <w:sz w:val="24"/>
          <w:szCs w:val="24"/>
        </w:rPr>
        <w:t xml:space="preserve">the project is </w:t>
      </w:r>
      <w:r w:rsidR="00FE711E" w:rsidRPr="00E6069E">
        <w:rPr>
          <w:sz w:val="24"/>
          <w:szCs w:val="24"/>
        </w:rPr>
        <w:t>“do-able” – Yes or No.</w:t>
      </w:r>
    </w:p>
    <w:p w14:paraId="114A345B" w14:textId="6BB4608C" w:rsidR="00547740" w:rsidRPr="00E6069E" w:rsidRDefault="00147E88" w:rsidP="00082E65">
      <w:pPr>
        <w:pStyle w:val="ListParagraph"/>
        <w:numPr>
          <w:ilvl w:val="0"/>
          <w:numId w:val="2"/>
        </w:numPr>
        <w:ind w:right="630"/>
        <w:rPr>
          <w:sz w:val="24"/>
          <w:szCs w:val="24"/>
        </w:rPr>
      </w:pPr>
      <w:r w:rsidRPr="00E6069E">
        <w:rPr>
          <w:sz w:val="24"/>
          <w:szCs w:val="24"/>
        </w:rPr>
        <w:t>Recommendations that have two “Yes” responses are potential QI projects.</w:t>
      </w:r>
      <w:r w:rsidR="000C548A" w:rsidRPr="00E6069E">
        <w:rPr>
          <w:sz w:val="24"/>
          <w:szCs w:val="24"/>
        </w:rPr>
        <w:t xml:space="preserve"> </w:t>
      </w:r>
    </w:p>
    <w:p w14:paraId="562CBA85" w14:textId="09E6F381" w:rsidR="001E6C37" w:rsidRPr="000714F8" w:rsidRDefault="001E6C37" w:rsidP="00082E65">
      <w:pPr>
        <w:ind w:right="630"/>
        <w:rPr>
          <w:sz w:val="24"/>
          <w:szCs w:val="24"/>
        </w:rPr>
      </w:pPr>
      <w:r w:rsidRPr="000714F8">
        <w:rPr>
          <w:sz w:val="24"/>
          <w:szCs w:val="24"/>
          <w:u w:val="single"/>
        </w:rPr>
        <w:t>Note</w:t>
      </w:r>
      <w:r w:rsidRPr="000714F8">
        <w:rPr>
          <w:sz w:val="24"/>
          <w:szCs w:val="24"/>
        </w:rPr>
        <w:t>:</w:t>
      </w:r>
    </w:p>
    <w:p w14:paraId="60467442" w14:textId="5B5AAC3B" w:rsidR="001E6C37" w:rsidRDefault="001E6C37" w:rsidP="00082E65">
      <w:pPr>
        <w:ind w:right="630"/>
        <w:rPr>
          <w:sz w:val="24"/>
          <w:szCs w:val="24"/>
        </w:rPr>
      </w:pPr>
      <w:r w:rsidRPr="000714F8">
        <w:rPr>
          <w:sz w:val="24"/>
          <w:szCs w:val="24"/>
        </w:rPr>
        <w:t>Patient Safety and Effectiveness are the relevant QI pi</w:t>
      </w:r>
      <w:r w:rsidR="00964F89" w:rsidRPr="000714F8">
        <w:rPr>
          <w:sz w:val="24"/>
          <w:szCs w:val="24"/>
        </w:rPr>
        <w:t xml:space="preserve">llars for most recommendations. However, </w:t>
      </w:r>
      <w:r w:rsidRPr="000714F8">
        <w:rPr>
          <w:sz w:val="24"/>
          <w:szCs w:val="24"/>
        </w:rPr>
        <w:t>the point can be made that the pillars of Timeliness</w:t>
      </w:r>
      <w:r w:rsidR="000714F8">
        <w:rPr>
          <w:sz w:val="24"/>
          <w:szCs w:val="24"/>
        </w:rPr>
        <w:t xml:space="preserve"> (Access)</w:t>
      </w:r>
      <w:r w:rsidRPr="000714F8">
        <w:rPr>
          <w:sz w:val="24"/>
          <w:szCs w:val="24"/>
        </w:rPr>
        <w:t xml:space="preserve"> and Efficiency are important in all </w:t>
      </w:r>
      <w:r w:rsidR="00964F89" w:rsidRPr="000714F8">
        <w:rPr>
          <w:sz w:val="24"/>
          <w:szCs w:val="24"/>
        </w:rPr>
        <w:t>potential situations</w:t>
      </w:r>
      <w:r w:rsidRPr="000714F8">
        <w:rPr>
          <w:sz w:val="24"/>
          <w:szCs w:val="24"/>
        </w:rPr>
        <w:t xml:space="preserve"> that entail c</w:t>
      </w:r>
      <w:r w:rsidR="004D4D19">
        <w:rPr>
          <w:sz w:val="24"/>
          <w:szCs w:val="24"/>
        </w:rPr>
        <w:t>linicians spending</w:t>
      </w:r>
      <w:r w:rsidRPr="000714F8">
        <w:rPr>
          <w:sz w:val="24"/>
          <w:szCs w:val="24"/>
        </w:rPr>
        <w:t xml:space="preserve"> time</w:t>
      </w:r>
      <w:r w:rsidR="00964F89" w:rsidRPr="000714F8">
        <w:rPr>
          <w:sz w:val="24"/>
          <w:szCs w:val="24"/>
        </w:rPr>
        <w:t xml:space="preserve"> in ways </w:t>
      </w:r>
      <w:r w:rsidRPr="000714F8">
        <w:rPr>
          <w:sz w:val="24"/>
          <w:szCs w:val="24"/>
        </w:rPr>
        <w:t>that do not add value to patient care.</w:t>
      </w:r>
      <w:r w:rsidR="000714F8">
        <w:rPr>
          <w:sz w:val="24"/>
          <w:szCs w:val="24"/>
        </w:rPr>
        <w:t xml:space="preserve"> Unnecessary clinical activity has two negative consequences: it increases wait times for patients who genuinely require access to the system; and it occupies clinicians, taking them away from activities that have true impact. </w:t>
      </w:r>
    </w:p>
    <w:p w14:paraId="7263EED5" w14:textId="77777777" w:rsidR="00E6069E" w:rsidRDefault="00E6069E" w:rsidP="00082E65">
      <w:pPr>
        <w:ind w:right="630"/>
        <w:rPr>
          <w:sz w:val="24"/>
          <w:szCs w:val="24"/>
        </w:rPr>
      </w:pPr>
    </w:p>
    <w:p w14:paraId="4E1CB2DF" w14:textId="77777777" w:rsidR="00E6069E" w:rsidRPr="000714F8" w:rsidRDefault="00E6069E" w:rsidP="00082E65">
      <w:pPr>
        <w:ind w:right="630"/>
        <w:rPr>
          <w:sz w:val="24"/>
          <w:szCs w:val="24"/>
        </w:rPr>
      </w:pPr>
    </w:p>
    <w:tbl>
      <w:tblPr>
        <w:tblStyle w:val="TableGrid"/>
        <w:tblW w:w="152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570"/>
        <w:gridCol w:w="2070"/>
        <w:gridCol w:w="1890"/>
        <w:gridCol w:w="1980"/>
        <w:gridCol w:w="2700"/>
      </w:tblGrid>
      <w:tr w:rsidR="00D013F2" w:rsidRPr="002A7227" w14:paraId="7A6CA945" w14:textId="77777777" w:rsidTr="00E6069E">
        <w:trPr>
          <w:trHeight w:hRule="exact" w:val="1120"/>
          <w:tblHeader/>
        </w:trPr>
        <w:tc>
          <w:tcPr>
            <w:tcW w:w="6570" w:type="dxa"/>
            <w:shd w:val="clear" w:color="auto" w:fill="000000" w:themeFill="text1"/>
            <w:vAlign w:val="center"/>
          </w:tcPr>
          <w:p w14:paraId="4946F595" w14:textId="77777777" w:rsidR="00D013F2" w:rsidRPr="002A7227" w:rsidRDefault="00D013F2" w:rsidP="008038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Choosing Wisely Canada Recommendation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424843CC" w14:textId="77777777" w:rsidR="00D013F2" w:rsidRPr="002A7227" w:rsidRDefault="00D013F2" w:rsidP="008038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Society List(s)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4EAD8332" w14:textId="77777777" w:rsidR="00D013F2" w:rsidRPr="002A7227" w:rsidRDefault="00D013F2" w:rsidP="008038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QI Pillar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718EFECF" w14:textId="77777777" w:rsidR="00D013F2" w:rsidRPr="002A7227" w:rsidRDefault="00D013F2" w:rsidP="008038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Relevant for us?</w:t>
            </w:r>
          </w:p>
          <w:p w14:paraId="15D24FC0" w14:textId="77777777" w:rsidR="00D013F2" w:rsidRPr="002A7227" w:rsidRDefault="00D013F2" w:rsidP="008038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Yes/No</w:t>
            </w:r>
          </w:p>
        </w:tc>
        <w:tc>
          <w:tcPr>
            <w:tcW w:w="2700" w:type="dxa"/>
            <w:shd w:val="clear" w:color="auto" w:fill="000000" w:themeFill="text1"/>
            <w:vAlign w:val="center"/>
          </w:tcPr>
          <w:p w14:paraId="404A38AA" w14:textId="77777777" w:rsidR="00D013F2" w:rsidRPr="002A7227" w:rsidRDefault="00D013F2" w:rsidP="008038A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72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Easy to Implement &amp; Measure?</w:t>
            </w:r>
          </w:p>
        </w:tc>
      </w:tr>
      <w:tr w:rsidR="00D013F2" w:rsidRPr="004F63E9" w14:paraId="6CCECA3F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35A6C244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perform stress cardiac imaging or advanced non-invasive imaging in the initial evaluation of patients without cardiac symptoms unless high-risk markers are present.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9776A7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Cardiology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53C472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4834B1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BE363C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D76ACC5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BFDD875" w14:textId="77777777" w:rsidTr="00E6069E">
        <w:tc>
          <w:tcPr>
            <w:tcW w:w="6570" w:type="dxa"/>
            <w:vAlign w:val="center"/>
          </w:tcPr>
          <w:p w14:paraId="5431B411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perform echocardiography as routine follow-up for mild, asymptomatic native valve disease in adult patients with no change in signs or symptoms.</w:t>
            </w:r>
          </w:p>
        </w:tc>
        <w:tc>
          <w:tcPr>
            <w:tcW w:w="2070" w:type="dxa"/>
            <w:vAlign w:val="center"/>
          </w:tcPr>
          <w:p w14:paraId="11D5E0A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Cardiology</w:t>
            </w:r>
          </w:p>
        </w:tc>
        <w:tc>
          <w:tcPr>
            <w:tcW w:w="1890" w:type="dxa"/>
            <w:vAlign w:val="center"/>
          </w:tcPr>
          <w:p w14:paraId="5517E61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0E208F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980" w:type="dxa"/>
            <w:vAlign w:val="center"/>
          </w:tcPr>
          <w:p w14:paraId="4A7FEAE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863E96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40C404A" w14:textId="77777777" w:rsidTr="00E6069E">
        <w:tc>
          <w:tcPr>
            <w:tcW w:w="6570" w:type="dxa"/>
            <w:vAlign w:val="center"/>
          </w:tcPr>
          <w:p w14:paraId="7465B148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order annual electrocardiograms (ECGs) for low-risk patients without symptoms.</w:t>
            </w:r>
          </w:p>
        </w:tc>
        <w:tc>
          <w:tcPr>
            <w:tcW w:w="2070" w:type="dxa"/>
            <w:vAlign w:val="center"/>
          </w:tcPr>
          <w:p w14:paraId="7C4EFA8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Cardiology</w:t>
            </w:r>
          </w:p>
        </w:tc>
        <w:tc>
          <w:tcPr>
            <w:tcW w:w="1890" w:type="dxa"/>
            <w:vAlign w:val="center"/>
          </w:tcPr>
          <w:p w14:paraId="7CED47E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5EB904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Efficiency</w:t>
            </w:r>
          </w:p>
        </w:tc>
        <w:tc>
          <w:tcPr>
            <w:tcW w:w="1980" w:type="dxa"/>
            <w:vAlign w:val="center"/>
          </w:tcPr>
          <w:p w14:paraId="290AD24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F31C98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9CF499E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750B3C55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antibiotics in adults with bronchitis/asthma and children with bronchiolitis.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B1686D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A3F804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128268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C5A54D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074BEF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3488E7A7" w14:textId="77777777" w:rsidTr="00E6069E">
        <w:tc>
          <w:tcPr>
            <w:tcW w:w="6570" w:type="dxa"/>
            <w:vAlign w:val="center"/>
          </w:tcPr>
          <w:p w14:paraId="20483992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antibiotics after incision and drainage of uncomplicated skin abscesses unless extensive cellulitis exists.</w:t>
            </w:r>
          </w:p>
        </w:tc>
        <w:tc>
          <w:tcPr>
            <w:tcW w:w="2070" w:type="dxa"/>
            <w:vAlign w:val="center"/>
          </w:tcPr>
          <w:p w14:paraId="0DD5639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1890" w:type="dxa"/>
            <w:vAlign w:val="center"/>
          </w:tcPr>
          <w:p w14:paraId="4E5A719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EC5AB7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004FD1B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12E33E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6345339" w14:textId="77777777" w:rsidTr="00E6069E">
        <w:tc>
          <w:tcPr>
            <w:tcW w:w="6570" w:type="dxa"/>
            <w:vAlign w:val="center"/>
          </w:tcPr>
          <w:p w14:paraId="032BBA42" w14:textId="77777777" w:rsidR="00D013F2" w:rsidRPr="009F264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2642">
              <w:rPr>
                <w:rFonts w:ascii="Arial" w:hAnsi="Arial" w:cs="Arial"/>
                <w:b/>
                <w:sz w:val="24"/>
                <w:szCs w:val="24"/>
              </w:rPr>
              <w:t>Don’t use antibiotics in adults and children with uncomplicated sore throats</w:t>
            </w:r>
          </w:p>
        </w:tc>
        <w:tc>
          <w:tcPr>
            <w:tcW w:w="2070" w:type="dxa"/>
            <w:vAlign w:val="center"/>
          </w:tcPr>
          <w:p w14:paraId="3F9531B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1890" w:type="dxa"/>
            <w:vAlign w:val="center"/>
          </w:tcPr>
          <w:p w14:paraId="59A04A9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55A53E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552997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CD6597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2ABC0D6" w14:textId="77777777" w:rsidTr="00E6069E">
        <w:tc>
          <w:tcPr>
            <w:tcW w:w="6570" w:type="dxa"/>
            <w:vAlign w:val="center"/>
          </w:tcPr>
          <w:p w14:paraId="506995BC" w14:textId="77777777" w:rsidR="00D013F2" w:rsidRPr="00B26DB4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DB4">
              <w:rPr>
                <w:rFonts w:ascii="Arial" w:hAnsi="Arial" w:cs="Arial"/>
                <w:b/>
                <w:sz w:val="24"/>
                <w:szCs w:val="24"/>
              </w:rPr>
              <w:t>Don’t use antibiotics in adults and children with uncomplicated acute otitis media</w:t>
            </w:r>
          </w:p>
        </w:tc>
        <w:tc>
          <w:tcPr>
            <w:tcW w:w="2070" w:type="dxa"/>
            <w:vAlign w:val="center"/>
          </w:tcPr>
          <w:p w14:paraId="7DA23A0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1890" w:type="dxa"/>
            <w:vAlign w:val="center"/>
          </w:tcPr>
          <w:p w14:paraId="53989ACC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0775ACE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1DE34A6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3A95843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FA7FD06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12117197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Don’t recommend routine or multiple daily self-glucose monitoring in adults with stable type </w:t>
            </w:r>
            <w:proofErr w:type="gram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2 diabetes on agents that do not cause hypoglycemia</w:t>
            </w:r>
            <w:proofErr w:type="gramEnd"/>
            <w:r w:rsidRPr="004F63E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23F68E7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Endocrinology and Metabolism</w:t>
            </w:r>
          </w:p>
          <w:p w14:paraId="15A8357F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8F8D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6102B2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551E9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D84288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5213A56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6BE0D1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4099BB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18298B4" w14:textId="77777777" w:rsidTr="00E6069E">
        <w:trPr>
          <w:trHeight w:val="782"/>
        </w:trPr>
        <w:tc>
          <w:tcPr>
            <w:tcW w:w="6570" w:type="dxa"/>
            <w:vAlign w:val="center"/>
          </w:tcPr>
          <w:p w14:paraId="3AA28979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routinely order a thyroid ultrasound in patients with abnormal thyroid function tests unless there is a palpable abnormality of the thyroid gland.</w:t>
            </w:r>
          </w:p>
        </w:tc>
        <w:tc>
          <w:tcPr>
            <w:tcW w:w="2070" w:type="dxa"/>
            <w:vAlign w:val="center"/>
          </w:tcPr>
          <w:p w14:paraId="0880CCF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Endocrinology and Metabolism</w:t>
            </w:r>
          </w:p>
        </w:tc>
        <w:tc>
          <w:tcPr>
            <w:tcW w:w="1890" w:type="dxa"/>
            <w:vAlign w:val="center"/>
          </w:tcPr>
          <w:p w14:paraId="5042CED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E058B5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980" w:type="dxa"/>
            <w:vAlign w:val="center"/>
          </w:tcPr>
          <w:p w14:paraId="25BF206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4C130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7A45357" w14:textId="77777777" w:rsidTr="00E6069E">
        <w:tc>
          <w:tcPr>
            <w:tcW w:w="6570" w:type="dxa"/>
            <w:vAlign w:val="center"/>
          </w:tcPr>
          <w:p w14:paraId="3A293531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use Free T4 or T3 to screen for hypothyroidism or to monitor and adjust levothyroxine (T4) dose in patients with known primary hypothyroidism.</w:t>
            </w:r>
          </w:p>
        </w:tc>
        <w:tc>
          <w:tcPr>
            <w:tcW w:w="2070" w:type="dxa"/>
            <w:vAlign w:val="center"/>
          </w:tcPr>
          <w:p w14:paraId="59EA5FC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Endocrinology </w:t>
            </w:r>
            <w:r w:rsidRPr="004F63E9">
              <w:rPr>
                <w:rFonts w:ascii="Arial" w:hAnsi="Arial" w:cs="Arial"/>
                <w:sz w:val="24"/>
                <w:szCs w:val="24"/>
              </w:rPr>
              <w:t>and Metabolism</w:t>
            </w:r>
          </w:p>
        </w:tc>
        <w:tc>
          <w:tcPr>
            <w:tcW w:w="1890" w:type="dxa"/>
            <w:vAlign w:val="center"/>
          </w:tcPr>
          <w:p w14:paraId="0F686FD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7673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F5EA5B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D07E19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266AA6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941D648" w14:textId="77777777" w:rsidTr="00E6069E">
        <w:tc>
          <w:tcPr>
            <w:tcW w:w="6570" w:type="dxa"/>
            <w:vAlign w:val="center"/>
          </w:tcPr>
          <w:p w14:paraId="461DF83D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routinely test for Anti-Thyroid Peroxidase Antibodies (anti – TPO).</w:t>
            </w:r>
          </w:p>
        </w:tc>
        <w:tc>
          <w:tcPr>
            <w:tcW w:w="2070" w:type="dxa"/>
            <w:vAlign w:val="center"/>
          </w:tcPr>
          <w:p w14:paraId="06C9088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Endocrinology and Metabolism</w:t>
            </w:r>
          </w:p>
        </w:tc>
        <w:tc>
          <w:tcPr>
            <w:tcW w:w="1890" w:type="dxa"/>
            <w:vAlign w:val="center"/>
          </w:tcPr>
          <w:p w14:paraId="695866F3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7F725E8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1A2451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6728D09" w14:textId="77777777" w:rsidTr="00E6069E">
        <w:tc>
          <w:tcPr>
            <w:tcW w:w="6570" w:type="dxa"/>
            <w:vAlign w:val="center"/>
          </w:tcPr>
          <w:p w14:paraId="5DC647D8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1291">
              <w:rPr>
                <w:rFonts w:ascii="Arial" w:hAnsi="Arial" w:cs="Arial"/>
                <w:b/>
                <w:sz w:val="24"/>
                <w:szCs w:val="24"/>
              </w:rPr>
              <w:t>Don’t do imaging for lower-back pain unless red flags are present</w:t>
            </w:r>
          </w:p>
        </w:tc>
        <w:tc>
          <w:tcPr>
            <w:tcW w:w="2070" w:type="dxa"/>
            <w:vAlign w:val="center"/>
          </w:tcPr>
          <w:p w14:paraId="1ABF1272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  <w:p w14:paraId="2F336540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  <w:p w14:paraId="61C006D0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Medicine</w:t>
            </w:r>
          </w:p>
          <w:p w14:paraId="1ED24D1B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Radiology</w:t>
            </w:r>
          </w:p>
          <w:p w14:paraId="04E4BBBC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Spine Society</w:t>
            </w:r>
          </w:p>
          <w:p w14:paraId="5602D43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Medicine &amp; Rehabilitation</w:t>
            </w:r>
          </w:p>
        </w:tc>
        <w:tc>
          <w:tcPr>
            <w:tcW w:w="1890" w:type="dxa"/>
            <w:vAlign w:val="center"/>
          </w:tcPr>
          <w:p w14:paraId="45952A29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Access</w:t>
            </w:r>
          </w:p>
          <w:p w14:paraId="067F465B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BBAD445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296E324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038BDE7C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7E2E4DC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CCA0AC7" w14:textId="77777777" w:rsidTr="00E6069E">
        <w:tc>
          <w:tcPr>
            <w:tcW w:w="6570" w:type="dxa"/>
            <w:vAlign w:val="center"/>
          </w:tcPr>
          <w:p w14:paraId="33996631" w14:textId="77777777" w:rsidR="00D013F2" w:rsidRPr="00EF4E8C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E8C">
              <w:rPr>
                <w:rFonts w:ascii="Arial" w:hAnsi="Arial" w:cs="Arial"/>
                <w:b/>
                <w:sz w:val="24"/>
                <w:szCs w:val="24"/>
              </w:rPr>
              <w:lastRenderedPageBreak/>
              <w:t>Don’t use antibiotics for upper respiratory infections that are likely viral in origin, such as influenza-like illness, or self-limiting, such as sinus infections of less than seven days of duration</w:t>
            </w:r>
          </w:p>
        </w:tc>
        <w:tc>
          <w:tcPr>
            <w:tcW w:w="2070" w:type="dxa"/>
            <w:vAlign w:val="center"/>
          </w:tcPr>
          <w:p w14:paraId="1EF22A1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4B446D7F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1B29782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20F25F6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D42F55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932D324" w14:textId="77777777" w:rsidTr="00E6069E">
        <w:tc>
          <w:tcPr>
            <w:tcW w:w="6570" w:type="dxa"/>
            <w:vAlign w:val="center"/>
          </w:tcPr>
          <w:p w14:paraId="4E0C52C7" w14:textId="77777777" w:rsidR="00D013F2" w:rsidRPr="00A7408C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08C">
              <w:rPr>
                <w:rFonts w:ascii="Arial" w:hAnsi="Arial" w:cs="Arial"/>
                <w:b/>
                <w:sz w:val="24"/>
                <w:szCs w:val="24"/>
              </w:rPr>
              <w:t>Don’t order screening chest X-rays and ECGs for asymptomatic or low risk outpatients</w:t>
            </w:r>
          </w:p>
        </w:tc>
        <w:tc>
          <w:tcPr>
            <w:tcW w:w="2070" w:type="dxa"/>
            <w:vAlign w:val="center"/>
          </w:tcPr>
          <w:p w14:paraId="49D0780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5D98A4CA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3F6BED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6C03EF55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E0176A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5ABC01B" w14:textId="77777777" w:rsidTr="00E6069E">
        <w:tc>
          <w:tcPr>
            <w:tcW w:w="6570" w:type="dxa"/>
            <w:vAlign w:val="center"/>
          </w:tcPr>
          <w:p w14:paraId="3DDAF581" w14:textId="77777777" w:rsidR="00D013F2" w:rsidRPr="0053675B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75B">
              <w:rPr>
                <w:rFonts w:ascii="Arial" w:hAnsi="Arial" w:cs="Arial"/>
                <w:b/>
                <w:sz w:val="24"/>
                <w:szCs w:val="24"/>
              </w:rPr>
              <w:t>Don’t screen women with Pap smears if under 21 years of age or over 69 years of age</w:t>
            </w:r>
          </w:p>
        </w:tc>
        <w:tc>
          <w:tcPr>
            <w:tcW w:w="2070" w:type="dxa"/>
            <w:vAlign w:val="center"/>
          </w:tcPr>
          <w:p w14:paraId="14091F2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3CFC9AA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41C57B5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01A8D4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43BE14E" w14:textId="77777777" w:rsidTr="00E6069E">
        <w:tc>
          <w:tcPr>
            <w:tcW w:w="6570" w:type="dxa"/>
            <w:vAlign w:val="center"/>
          </w:tcPr>
          <w:p w14:paraId="48F58C52" w14:textId="77777777" w:rsidR="00D013F2" w:rsidRPr="0059431D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31D">
              <w:rPr>
                <w:rFonts w:ascii="Arial" w:hAnsi="Arial" w:cs="Arial"/>
                <w:b/>
                <w:sz w:val="24"/>
                <w:szCs w:val="24"/>
              </w:rPr>
              <w:t>Don’t do annual screening blood tests unless directly indicated by the risk profile of the patient</w:t>
            </w:r>
          </w:p>
        </w:tc>
        <w:tc>
          <w:tcPr>
            <w:tcW w:w="2070" w:type="dxa"/>
            <w:vAlign w:val="center"/>
          </w:tcPr>
          <w:p w14:paraId="0F150EB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35E15B2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2173434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DE9FA8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2D2044D" w14:textId="77777777" w:rsidTr="00E6069E">
        <w:tc>
          <w:tcPr>
            <w:tcW w:w="6570" w:type="dxa"/>
            <w:vAlign w:val="center"/>
          </w:tcPr>
          <w:p w14:paraId="383F6140" w14:textId="77777777" w:rsidR="00D013F2" w:rsidRPr="00A449D6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9D6">
              <w:rPr>
                <w:rFonts w:ascii="Arial" w:hAnsi="Arial" w:cs="Arial"/>
                <w:b/>
                <w:sz w:val="24"/>
                <w:szCs w:val="24"/>
              </w:rPr>
              <w:t>Don’t routinely measure Vitamin D in low risk adults</w:t>
            </w:r>
          </w:p>
        </w:tc>
        <w:tc>
          <w:tcPr>
            <w:tcW w:w="2070" w:type="dxa"/>
            <w:vAlign w:val="center"/>
          </w:tcPr>
          <w:p w14:paraId="7282AE1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  <w:p w14:paraId="1A5D7A0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Pathology</w:t>
            </w:r>
          </w:p>
        </w:tc>
        <w:tc>
          <w:tcPr>
            <w:tcW w:w="1890" w:type="dxa"/>
            <w:vAlign w:val="center"/>
          </w:tcPr>
          <w:p w14:paraId="0F1F37F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3BB19A0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76FB07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23ED3C2" w14:textId="77777777" w:rsidTr="00E6069E">
        <w:tc>
          <w:tcPr>
            <w:tcW w:w="6570" w:type="dxa"/>
            <w:vAlign w:val="center"/>
          </w:tcPr>
          <w:p w14:paraId="4DFBB87E" w14:textId="77777777" w:rsidR="00D013F2" w:rsidRPr="00135BD0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BD0">
              <w:rPr>
                <w:rFonts w:ascii="Arial" w:hAnsi="Arial" w:cs="Arial"/>
                <w:b/>
                <w:sz w:val="24"/>
                <w:szCs w:val="24"/>
              </w:rPr>
              <w:t>Don’t routinely do screening mammography for average risk women aged 40 – 49. Individual assessment of each woman’s preferences and risk should guide the discussion and decision regarding mammography screening in this age group</w:t>
            </w:r>
          </w:p>
        </w:tc>
        <w:tc>
          <w:tcPr>
            <w:tcW w:w="2070" w:type="dxa"/>
            <w:vAlign w:val="center"/>
          </w:tcPr>
          <w:p w14:paraId="4CE18E4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041CBFE5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5DFA763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6C9583B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3EEA6FE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2D4A15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214EFB1" w14:textId="77777777" w:rsidTr="00E6069E">
        <w:tc>
          <w:tcPr>
            <w:tcW w:w="6570" w:type="dxa"/>
            <w:vAlign w:val="center"/>
          </w:tcPr>
          <w:p w14:paraId="6F4EA00D" w14:textId="77777777" w:rsidR="00D013F2" w:rsidRPr="00F675ED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5ED">
              <w:rPr>
                <w:rFonts w:ascii="Arial" w:hAnsi="Arial" w:cs="Arial"/>
                <w:b/>
                <w:sz w:val="24"/>
                <w:szCs w:val="24"/>
              </w:rPr>
              <w:t>Don’t do annual physical exams on asymptomatic adults with no significant risk factors</w:t>
            </w:r>
          </w:p>
        </w:tc>
        <w:tc>
          <w:tcPr>
            <w:tcW w:w="2070" w:type="dxa"/>
            <w:vAlign w:val="center"/>
          </w:tcPr>
          <w:p w14:paraId="365F063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767D35D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C86F06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980" w:type="dxa"/>
            <w:vAlign w:val="center"/>
          </w:tcPr>
          <w:p w14:paraId="1FC1E9A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D2D68A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C240216" w14:textId="77777777" w:rsidTr="00E6069E">
        <w:tc>
          <w:tcPr>
            <w:tcW w:w="6570" w:type="dxa"/>
            <w:vAlign w:val="center"/>
          </w:tcPr>
          <w:p w14:paraId="783C1A1C" w14:textId="77777777" w:rsidR="00D013F2" w:rsidRPr="002D7EF8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EF8">
              <w:rPr>
                <w:rFonts w:ascii="Arial" w:hAnsi="Arial" w:cs="Arial"/>
                <w:b/>
                <w:sz w:val="24"/>
                <w:szCs w:val="24"/>
              </w:rPr>
              <w:t>Don’t order DEXA (Dual-Energy X-ray Absorptiometry) screening for osteoporosis on low risk patients</w:t>
            </w:r>
          </w:p>
        </w:tc>
        <w:tc>
          <w:tcPr>
            <w:tcW w:w="2070" w:type="dxa"/>
            <w:vAlign w:val="center"/>
          </w:tcPr>
          <w:p w14:paraId="34C2A8F3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2AD8379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3D9500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980" w:type="dxa"/>
            <w:vAlign w:val="center"/>
          </w:tcPr>
          <w:p w14:paraId="02DF206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4EA50A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7A15715" w14:textId="77777777" w:rsidTr="00E6069E">
        <w:tc>
          <w:tcPr>
            <w:tcW w:w="6570" w:type="dxa"/>
            <w:vAlign w:val="center"/>
          </w:tcPr>
          <w:p w14:paraId="3C70EF6B" w14:textId="77777777" w:rsidR="00D013F2" w:rsidRPr="00AE6EAE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EAE">
              <w:rPr>
                <w:rFonts w:ascii="Arial" w:hAnsi="Arial" w:cs="Arial"/>
                <w:b/>
                <w:sz w:val="24"/>
                <w:szCs w:val="24"/>
              </w:rPr>
              <w:t>Don’t order thyroid function tests in asymptomatic patients</w:t>
            </w:r>
          </w:p>
        </w:tc>
        <w:tc>
          <w:tcPr>
            <w:tcW w:w="2070" w:type="dxa"/>
            <w:vAlign w:val="center"/>
          </w:tcPr>
          <w:p w14:paraId="539DA53A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61D8753D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81696D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25A50B8C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B8CD1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D76" w:rsidRPr="004F63E9" w14:paraId="4055C761" w14:textId="77777777" w:rsidTr="00E6069E">
        <w:tc>
          <w:tcPr>
            <w:tcW w:w="6570" w:type="dxa"/>
            <w:vAlign w:val="center"/>
          </w:tcPr>
          <w:p w14:paraId="63444D29" w14:textId="5BC8ECAD" w:rsidR="00665D76" w:rsidRPr="004D7675" w:rsidRDefault="004D7675" w:rsidP="008038A7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4D7675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lang w:val="en-CA"/>
              </w:rPr>
              <w:t>Don’t continue opioid analgesia beyond the immediate postoperative period or other episode of acute, severe pain</w:t>
            </w:r>
          </w:p>
        </w:tc>
        <w:tc>
          <w:tcPr>
            <w:tcW w:w="2070" w:type="dxa"/>
            <w:vAlign w:val="center"/>
          </w:tcPr>
          <w:p w14:paraId="4E511973" w14:textId="462C7D24" w:rsidR="00665D76" w:rsidRDefault="004D7675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184A3EC6" w14:textId="7E261A08" w:rsidR="00665D76" w:rsidRDefault="004D7675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7356FE47" w14:textId="77777777" w:rsidR="00665D76" w:rsidRPr="004F63E9" w:rsidRDefault="00665D76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B65ED84" w14:textId="77777777" w:rsidR="00665D76" w:rsidRPr="004F63E9" w:rsidRDefault="00665D76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D76" w:rsidRPr="004F63E9" w14:paraId="395DE8F0" w14:textId="77777777" w:rsidTr="00E6069E">
        <w:tc>
          <w:tcPr>
            <w:tcW w:w="6570" w:type="dxa"/>
            <w:vAlign w:val="center"/>
          </w:tcPr>
          <w:p w14:paraId="797292EC" w14:textId="6624064D" w:rsidR="00665D76" w:rsidRPr="004D7675" w:rsidRDefault="004D7675" w:rsidP="008038A7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4D7675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lang w:val="en-CA"/>
              </w:rPr>
              <w:t>Don’t initiate opioids long-term for chronic pain until there has been a trial of available non-pharmacological treatments and adequate trials of non-opioid medications</w:t>
            </w:r>
          </w:p>
        </w:tc>
        <w:tc>
          <w:tcPr>
            <w:tcW w:w="2070" w:type="dxa"/>
            <w:vAlign w:val="center"/>
          </w:tcPr>
          <w:p w14:paraId="3B7B6072" w14:textId="5C387D27" w:rsidR="00665D76" w:rsidRDefault="004D7675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90" w:type="dxa"/>
            <w:vAlign w:val="center"/>
          </w:tcPr>
          <w:p w14:paraId="16C18F15" w14:textId="77777777" w:rsidR="00665D76" w:rsidRDefault="004D7675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072FC0DF" w14:textId="41CE1FE0" w:rsidR="004D7675" w:rsidRDefault="004D7675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4E06DB1D" w14:textId="77777777" w:rsidR="00665D76" w:rsidRPr="004F63E9" w:rsidRDefault="00665D76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810D8E6" w14:textId="77777777" w:rsidR="00665D76" w:rsidRPr="004F63E9" w:rsidRDefault="00665D76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235D1A9" w14:textId="77777777" w:rsidTr="00E6069E">
        <w:tc>
          <w:tcPr>
            <w:tcW w:w="6570" w:type="dxa"/>
            <w:vAlign w:val="center"/>
          </w:tcPr>
          <w:p w14:paraId="2396850A" w14:textId="1A9ADAF1" w:rsidR="00D013F2" w:rsidRPr="00AE6EAE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lastRenderedPageBreak/>
              <w:t>Don’t maintain long term Proton Pump Inhibitor (PPI) therapy for gastrointestinal symptoms without an attempt to stop/reduce PPI at least once per year in most patients.</w:t>
            </w:r>
          </w:p>
        </w:tc>
        <w:tc>
          <w:tcPr>
            <w:tcW w:w="2070" w:type="dxa"/>
            <w:vAlign w:val="center"/>
          </w:tcPr>
          <w:p w14:paraId="607AA440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Gastroenterology</w:t>
            </w:r>
          </w:p>
        </w:tc>
        <w:tc>
          <w:tcPr>
            <w:tcW w:w="1890" w:type="dxa"/>
            <w:vAlign w:val="center"/>
          </w:tcPr>
          <w:p w14:paraId="5BFC205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27265F3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9BE1723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C8A56E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65C59F6" w14:textId="77777777" w:rsidTr="00E6069E">
        <w:tc>
          <w:tcPr>
            <w:tcW w:w="6570" w:type="dxa"/>
            <w:vAlign w:val="center"/>
          </w:tcPr>
          <w:p w14:paraId="45B91B22" w14:textId="77777777" w:rsidR="00D013F2" w:rsidRPr="00AE6EAE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Avoid using an upper GI series to investigate dyspepsia.</w:t>
            </w:r>
          </w:p>
        </w:tc>
        <w:tc>
          <w:tcPr>
            <w:tcW w:w="2070" w:type="dxa"/>
            <w:vAlign w:val="center"/>
          </w:tcPr>
          <w:p w14:paraId="6952BFEA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Gastroenterology</w:t>
            </w:r>
          </w:p>
        </w:tc>
        <w:tc>
          <w:tcPr>
            <w:tcW w:w="1890" w:type="dxa"/>
            <w:vAlign w:val="center"/>
          </w:tcPr>
          <w:p w14:paraId="269968A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6651613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5B0AF61C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E90716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38EC794" w14:textId="77777777" w:rsidTr="00E6069E">
        <w:tc>
          <w:tcPr>
            <w:tcW w:w="6570" w:type="dxa"/>
            <w:vAlign w:val="center"/>
          </w:tcPr>
          <w:p w14:paraId="6FF3F367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Avoid colorectal cancer screening tests on asymptomatic patients with a life expectancy of less than 10 years and no family or personal history of colorectal </w:t>
            </w:r>
            <w:proofErr w:type="spell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neoplasia</w:t>
            </w:r>
            <w:proofErr w:type="spellEnd"/>
            <w:r w:rsidRPr="004F63E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vAlign w:val="center"/>
          </w:tcPr>
          <w:p w14:paraId="7CCDA9B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General Surgery</w:t>
            </w:r>
          </w:p>
        </w:tc>
        <w:tc>
          <w:tcPr>
            <w:tcW w:w="1890" w:type="dxa"/>
            <w:vAlign w:val="center"/>
          </w:tcPr>
          <w:p w14:paraId="78F559C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7810D7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2CEE6BA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980" w:type="dxa"/>
            <w:vAlign w:val="center"/>
          </w:tcPr>
          <w:p w14:paraId="51A5461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7E47A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5656479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378B354F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Don’t use antimicrobials to treat </w:t>
            </w:r>
            <w:proofErr w:type="spell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bacteriuria</w:t>
            </w:r>
            <w:proofErr w:type="spellEnd"/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 in older adults unless specific urinary tract symptoms are present.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288E88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Geriatrics</w:t>
            </w:r>
          </w:p>
          <w:p w14:paraId="094E1C5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Hospital Medicine</w:t>
            </w:r>
          </w:p>
          <w:p w14:paraId="14A1715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Pathology</w:t>
            </w:r>
          </w:p>
          <w:p w14:paraId="10862AF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Urology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62B121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D618CF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26AAC2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5C84F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1F99CC7" w14:textId="77777777" w:rsidTr="00E6069E">
        <w:tc>
          <w:tcPr>
            <w:tcW w:w="6570" w:type="dxa"/>
            <w:vAlign w:val="center"/>
          </w:tcPr>
          <w:p w14:paraId="5DCC5C02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use benzodiazepines or other sedative-hypnotics in older adults as first choice for insomnia, agitation or delirium.</w:t>
            </w:r>
          </w:p>
        </w:tc>
        <w:tc>
          <w:tcPr>
            <w:tcW w:w="2070" w:type="dxa"/>
            <w:vAlign w:val="center"/>
          </w:tcPr>
          <w:p w14:paraId="03F2A1B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Geriatrics</w:t>
            </w:r>
          </w:p>
          <w:p w14:paraId="0E323C3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Hospital Medicine</w:t>
            </w:r>
          </w:p>
          <w:p w14:paraId="383D3BA3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1890" w:type="dxa"/>
            <w:vAlign w:val="center"/>
          </w:tcPr>
          <w:p w14:paraId="2025A96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FE03E9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38CEEC5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754DC79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3EF64C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9DF8F52" w14:textId="77777777" w:rsidTr="00E6069E">
        <w:tc>
          <w:tcPr>
            <w:tcW w:w="6570" w:type="dxa"/>
            <w:vAlign w:val="center"/>
          </w:tcPr>
          <w:p w14:paraId="70005582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Don't use antipsychotics as first choice to treat </w:t>
            </w:r>
            <w:proofErr w:type="spell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behavioural</w:t>
            </w:r>
            <w:proofErr w:type="spellEnd"/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 and psychological symptoms of dementia.</w:t>
            </w:r>
          </w:p>
        </w:tc>
        <w:tc>
          <w:tcPr>
            <w:tcW w:w="2070" w:type="dxa"/>
            <w:vAlign w:val="center"/>
          </w:tcPr>
          <w:p w14:paraId="57DD468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Geriatrics</w:t>
            </w:r>
          </w:p>
          <w:p w14:paraId="5EE85F78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  <w:p w14:paraId="13A36D0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1890" w:type="dxa"/>
            <w:vAlign w:val="center"/>
          </w:tcPr>
          <w:p w14:paraId="7F9AE86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4D3AEF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77EBD58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2D6B84D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0D516F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59515CF" w14:textId="77777777" w:rsidTr="00E6069E">
        <w:tc>
          <w:tcPr>
            <w:tcW w:w="6570" w:type="dxa"/>
            <w:vAlign w:val="center"/>
          </w:tcPr>
          <w:p w14:paraId="708A2B75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Avoid using medications known to cause hypoglycemia to achieve hemoglobin A1c &lt;7.5% in many adults age 65 and older; moderate control is generally better.</w:t>
            </w:r>
          </w:p>
        </w:tc>
        <w:tc>
          <w:tcPr>
            <w:tcW w:w="2070" w:type="dxa"/>
            <w:vAlign w:val="center"/>
          </w:tcPr>
          <w:p w14:paraId="7FB20C3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Geriatrics</w:t>
            </w:r>
          </w:p>
        </w:tc>
        <w:tc>
          <w:tcPr>
            <w:tcW w:w="1890" w:type="dxa"/>
            <w:vAlign w:val="center"/>
          </w:tcPr>
          <w:p w14:paraId="6C8B2BE3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321F8D3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F784FA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F6E69C3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03727301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order neuroimaging or sinus imaging in patients who have a normal clinical examination, who meet diagnostic criteria for migraine, and have no “red flags” for a secondary headache disorder.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8B2A7C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Headache</w:t>
            </w:r>
          </w:p>
          <w:p w14:paraId="58DC7DC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Radiology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DD1088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7407AA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Access</w:t>
            </w:r>
          </w:p>
          <w:p w14:paraId="7FAE5C8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210E5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2303BA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4B2BDFE" w14:textId="77777777" w:rsidTr="00E6069E">
        <w:tc>
          <w:tcPr>
            <w:tcW w:w="6570" w:type="dxa"/>
            <w:vAlign w:val="center"/>
          </w:tcPr>
          <w:p w14:paraId="29DC38BB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acute medications or recommend an over-the-counter analgesic for patients with frequent migraine attacks without monitoring frequency of acute medication use with a headache diary.</w:t>
            </w:r>
          </w:p>
        </w:tc>
        <w:tc>
          <w:tcPr>
            <w:tcW w:w="2070" w:type="dxa"/>
            <w:vAlign w:val="center"/>
          </w:tcPr>
          <w:p w14:paraId="00791E1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Headache</w:t>
            </w:r>
          </w:p>
        </w:tc>
        <w:tc>
          <w:tcPr>
            <w:tcW w:w="1890" w:type="dxa"/>
            <w:vAlign w:val="center"/>
          </w:tcPr>
          <w:p w14:paraId="418384F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6D90A4D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110986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44579CB" w14:textId="77777777" w:rsidTr="00E6069E">
        <w:tc>
          <w:tcPr>
            <w:tcW w:w="6570" w:type="dxa"/>
            <w:vAlign w:val="center"/>
          </w:tcPr>
          <w:p w14:paraId="682FA3AB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Don’t prescribe opioid analgesics or combination </w:t>
            </w:r>
            <w:r w:rsidRPr="004F63E9">
              <w:rPr>
                <w:rFonts w:ascii="Arial" w:hAnsi="Arial" w:cs="Arial"/>
                <w:b/>
                <w:sz w:val="24"/>
                <w:szCs w:val="24"/>
              </w:rPr>
              <w:lastRenderedPageBreak/>
              <w:t>analgesics containing opioids or barbiturates as first line therapy for the treatment of migraine.</w:t>
            </w:r>
          </w:p>
        </w:tc>
        <w:tc>
          <w:tcPr>
            <w:tcW w:w="2070" w:type="dxa"/>
            <w:vAlign w:val="center"/>
          </w:tcPr>
          <w:p w14:paraId="06A6D4A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lastRenderedPageBreak/>
              <w:t>Headache</w:t>
            </w:r>
          </w:p>
        </w:tc>
        <w:tc>
          <w:tcPr>
            <w:tcW w:w="1890" w:type="dxa"/>
            <w:vAlign w:val="center"/>
          </w:tcPr>
          <w:p w14:paraId="4937E17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FD1FFF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lastRenderedPageBreak/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365600E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1C6E352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AFAD83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AB" w:rsidRPr="004F63E9" w14:paraId="2DF61BCE" w14:textId="77777777" w:rsidTr="00E6069E">
        <w:tc>
          <w:tcPr>
            <w:tcW w:w="6570" w:type="dxa"/>
            <w:vAlign w:val="center"/>
          </w:tcPr>
          <w:p w14:paraId="121AB282" w14:textId="373CDA7A" w:rsidR="007C0EAB" w:rsidRPr="00E66C0D" w:rsidRDefault="00E66C0D" w:rsidP="00E66C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4"/>
                <w:szCs w:val="24"/>
                <w:lang w:val="en-CA"/>
              </w:rPr>
            </w:pPr>
            <w:r w:rsidRPr="00E66C0D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lastRenderedPageBreak/>
              <w:t>Don</w:t>
            </w:r>
            <w:r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t>’t perform CT or MRI</w:t>
            </w:r>
            <w:r w:rsidRPr="00E66C0D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t xml:space="preserve"> routinely to monitor b</w:t>
            </w:r>
            <w:r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t>enign focal liver lesions (e.g.</w:t>
            </w:r>
            <w:r w:rsidRPr="00E66C0D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t xml:space="preserve"> focal nodal hyperplasia, </w:t>
            </w:r>
            <w:proofErr w:type="spellStart"/>
            <w:r w:rsidRPr="00E66C0D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t>hemangioma</w:t>
            </w:r>
            <w:proofErr w:type="spellEnd"/>
            <w:r w:rsidRPr="00E66C0D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t>).</w:t>
            </w:r>
          </w:p>
        </w:tc>
        <w:tc>
          <w:tcPr>
            <w:tcW w:w="2070" w:type="dxa"/>
            <w:vAlign w:val="center"/>
          </w:tcPr>
          <w:p w14:paraId="253EDEA0" w14:textId="1B93FF9F" w:rsidR="007C0EAB" w:rsidRPr="004F63E9" w:rsidRDefault="007C0EAB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Hepatology</w:t>
            </w:r>
            <w:proofErr w:type="spellEnd"/>
          </w:p>
        </w:tc>
        <w:tc>
          <w:tcPr>
            <w:tcW w:w="1890" w:type="dxa"/>
            <w:vAlign w:val="center"/>
          </w:tcPr>
          <w:p w14:paraId="05B47FBE" w14:textId="77777777" w:rsidR="007C0EAB" w:rsidRDefault="00E66C0D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CF18A39" w14:textId="77777777" w:rsidR="00E66C0D" w:rsidRPr="004F63E9" w:rsidRDefault="00E66C0D" w:rsidP="00E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77EF58D8" w14:textId="1EE23614" w:rsidR="00E66C0D" w:rsidRPr="004F63E9" w:rsidRDefault="00E66C0D" w:rsidP="00E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34304391" w14:textId="77777777" w:rsidR="007C0EAB" w:rsidRPr="004F63E9" w:rsidRDefault="007C0EAB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A9CD723" w14:textId="77777777" w:rsidR="007C0EAB" w:rsidRPr="004F63E9" w:rsidRDefault="007C0EAB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AB" w:rsidRPr="004F63E9" w14:paraId="7509FF4C" w14:textId="77777777" w:rsidTr="00E6069E">
        <w:tc>
          <w:tcPr>
            <w:tcW w:w="6570" w:type="dxa"/>
            <w:vAlign w:val="center"/>
          </w:tcPr>
          <w:p w14:paraId="3AD58027" w14:textId="78955A70" w:rsidR="007C0EAB" w:rsidRPr="00E66C0D" w:rsidRDefault="00E66C0D" w:rsidP="00E66C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4"/>
                <w:szCs w:val="24"/>
                <w:lang w:val="en-CA"/>
              </w:rPr>
            </w:pPr>
            <w:r w:rsidRPr="00E66C0D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val="en-CA"/>
              </w:rPr>
              <w:t>Don’t repeat hepatitis C viral load testing in an individual who has established chronic infection, outside of antiviral treatment.</w:t>
            </w:r>
          </w:p>
        </w:tc>
        <w:tc>
          <w:tcPr>
            <w:tcW w:w="2070" w:type="dxa"/>
            <w:vAlign w:val="center"/>
          </w:tcPr>
          <w:p w14:paraId="2BA2196F" w14:textId="17C237BA" w:rsidR="007C0EAB" w:rsidRPr="004F63E9" w:rsidRDefault="007C0EAB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Hepatology</w:t>
            </w:r>
            <w:proofErr w:type="spellEnd"/>
          </w:p>
        </w:tc>
        <w:tc>
          <w:tcPr>
            <w:tcW w:w="1890" w:type="dxa"/>
            <w:vAlign w:val="center"/>
          </w:tcPr>
          <w:p w14:paraId="3327B34A" w14:textId="77777777" w:rsidR="007C0EAB" w:rsidRDefault="00E66C0D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4B672D2" w14:textId="071AE264" w:rsidR="00E66C0D" w:rsidRPr="004F63E9" w:rsidRDefault="00E66C0D" w:rsidP="00E66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665F9E4E" w14:textId="77777777" w:rsidR="007C0EAB" w:rsidRPr="004F63E9" w:rsidRDefault="007C0EAB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D490321" w14:textId="77777777" w:rsidR="007C0EAB" w:rsidRPr="004F63E9" w:rsidRDefault="007C0EAB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1BE0657" w14:textId="77777777" w:rsidTr="00E6069E">
        <w:tc>
          <w:tcPr>
            <w:tcW w:w="6570" w:type="dxa"/>
            <w:vAlign w:val="center"/>
          </w:tcPr>
          <w:p w14:paraId="485E22FC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alternate second-line antimicrobials to patients reporting non-severe reactions to penicillin when beta-lactams are the recommended first-line therapy.</w:t>
            </w:r>
          </w:p>
        </w:tc>
        <w:tc>
          <w:tcPr>
            <w:tcW w:w="2070" w:type="dxa"/>
            <w:vAlign w:val="center"/>
          </w:tcPr>
          <w:p w14:paraId="5E70E6E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Infectious Disease</w:t>
            </w:r>
          </w:p>
        </w:tc>
        <w:tc>
          <w:tcPr>
            <w:tcW w:w="1890" w:type="dxa"/>
            <w:vAlign w:val="center"/>
          </w:tcPr>
          <w:p w14:paraId="2C56FF1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084E0A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4AB7BE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0DB180C" w14:textId="77777777" w:rsidTr="00E6069E">
        <w:tc>
          <w:tcPr>
            <w:tcW w:w="6570" w:type="dxa"/>
            <w:vAlign w:val="center"/>
          </w:tcPr>
          <w:p w14:paraId="5206303D" w14:textId="77777777" w:rsidR="00D013F2" w:rsidRPr="00D013F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3F2">
              <w:rPr>
                <w:rFonts w:ascii="Arial" w:hAnsi="Arial" w:cs="Arial"/>
                <w:b/>
                <w:sz w:val="24"/>
                <w:szCs w:val="24"/>
              </w:rPr>
              <w:t>Don’t use steroids (e.g., prednisone) for maintenance therapy in inflammatory bowel disease (IBD)</w:t>
            </w:r>
          </w:p>
        </w:tc>
        <w:tc>
          <w:tcPr>
            <w:tcW w:w="2070" w:type="dxa"/>
            <w:vAlign w:val="center"/>
          </w:tcPr>
          <w:p w14:paraId="52757EEF" w14:textId="77777777" w:rsidR="00D013F2" w:rsidRDefault="00D013F2" w:rsidP="008038A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Inflammatory Bowel Disease</w:t>
            </w:r>
          </w:p>
        </w:tc>
        <w:tc>
          <w:tcPr>
            <w:tcW w:w="1890" w:type="dxa"/>
            <w:vAlign w:val="center"/>
          </w:tcPr>
          <w:p w14:paraId="00936A73" w14:textId="77777777" w:rsidR="00D013F2" w:rsidRDefault="00D013F2" w:rsidP="008038A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267662A" w14:textId="77777777" w:rsidR="00D013F2" w:rsidRPr="004F63E9" w:rsidRDefault="00D013F2" w:rsidP="008038A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43C72F6D" w14:textId="77777777" w:rsidR="00D013F2" w:rsidRPr="004F63E9" w:rsidRDefault="00D013F2" w:rsidP="008038A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B734998" w14:textId="77777777" w:rsidR="00D013F2" w:rsidRPr="004F63E9" w:rsidRDefault="00D013F2" w:rsidP="008038A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1C892E7" w14:textId="77777777" w:rsidTr="00E6069E">
        <w:tc>
          <w:tcPr>
            <w:tcW w:w="6570" w:type="dxa"/>
            <w:vAlign w:val="center"/>
          </w:tcPr>
          <w:p w14:paraId="1036574F" w14:textId="77777777" w:rsidR="00D013F2" w:rsidRPr="00D013F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3F2">
              <w:rPr>
                <w:rFonts w:ascii="Arial" w:hAnsi="Arial" w:cs="Arial"/>
                <w:b/>
                <w:sz w:val="24"/>
                <w:szCs w:val="24"/>
              </w:rPr>
              <w:t>Don’t use abdominal computed tomography (CT) scan to assess inflammatory bowel disease (IBD) in the acute setting unless there is suspicion of a complication (obstruction, perforation, abscess) or a non-IBD etiology for abdominal symptoms</w:t>
            </w:r>
          </w:p>
        </w:tc>
        <w:tc>
          <w:tcPr>
            <w:tcW w:w="2070" w:type="dxa"/>
            <w:vAlign w:val="center"/>
          </w:tcPr>
          <w:p w14:paraId="0FC0281A" w14:textId="77777777" w:rsidR="00D013F2" w:rsidRDefault="00D013F2" w:rsidP="008038A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Inflammatory Bowel Disease</w:t>
            </w:r>
          </w:p>
        </w:tc>
        <w:tc>
          <w:tcPr>
            <w:tcW w:w="1890" w:type="dxa"/>
            <w:vAlign w:val="center"/>
          </w:tcPr>
          <w:p w14:paraId="59CF1BF9" w14:textId="77777777" w:rsidR="00D013F2" w:rsidRDefault="00D013F2" w:rsidP="008038A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797117F0" w14:textId="77777777" w:rsidR="00D013F2" w:rsidRPr="004F63E9" w:rsidRDefault="00D013F2" w:rsidP="008038A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B05564" w14:textId="77777777" w:rsidR="00D013F2" w:rsidRPr="004F63E9" w:rsidRDefault="00D013F2" w:rsidP="008038A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16CC66E" w14:textId="77777777" w:rsidTr="00E6069E">
        <w:tc>
          <w:tcPr>
            <w:tcW w:w="6570" w:type="dxa"/>
            <w:vAlign w:val="center"/>
          </w:tcPr>
          <w:p w14:paraId="46B87CE4" w14:textId="77777777" w:rsidR="00D013F2" w:rsidRPr="0063451F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51F">
              <w:rPr>
                <w:rFonts w:ascii="Arial" w:hAnsi="Arial" w:cs="Arial"/>
                <w:b/>
                <w:sz w:val="24"/>
                <w:szCs w:val="24"/>
              </w:rPr>
              <w:t>Don’t do a urine dip or urine culture unless there are clear signs and symptoms of a urinary tract infection (UTI)</w:t>
            </w:r>
          </w:p>
        </w:tc>
        <w:tc>
          <w:tcPr>
            <w:tcW w:w="2070" w:type="dxa"/>
            <w:vAlign w:val="center"/>
          </w:tcPr>
          <w:p w14:paraId="2E9C008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1890" w:type="dxa"/>
            <w:vAlign w:val="center"/>
          </w:tcPr>
          <w:p w14:paraId="31CE3D99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01DF3A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818CB5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A3DD6F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C27C84A" w14:textId="77777777" w:rsidTr="00E6069E">
        <w:tc>
          <w:tcPr>
            <w:tcW w:w="6570" w:type="dxa"/>
            <w:vAlign w:val="center"/>
          </w:tcPr>
          <w:p w14:paraId="150537BD" w14:textId="77777777" w:rsidR="00D013F2" w:rsidRPr="008C0AD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AD2">
              <w:rPr>
                <w:rFonts w:ascii="Arial" w:hAnsi="Arial" w:cs="Arial"/>
                <w:b/>
                <w:sz w:val="24"/>
                <w:szCs w:val="24"/>
              </w:rPr>
              <w:t>Don’t continue or add long-term medications unless there is an appropriate indication and a reasonable expectation of benefit in the individual patient</w:t>
            </w:r>
          </w:p>
        </w:tc>
        <w:tc>
          <w:tcPr>
            <w:tcW w:w="2070" w:type="dxa"/>
            <w:vAlign w:val="center"/>
          </w:tcPr>
          <w:p w14:paraId="043815F8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1890" w:type="dxa"/>
            <w:vAlign w:val="center"/>
          </w:tcPr>
          <w:p w14:paraId="76AF896E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73845F5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54E0B1B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B0F11B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0E51A68" w14:textId="77777777" w:rsidTr="00E6069E">
        <w:tc>
          <w:tcPr>
            <w:tcW w:w="6570" w:type="dxa"/>
            <w:vAlign w:val="center"/>
          </w:tcPr>
          <w:p w14:paraId="3D3B8FCE" w14:textId="77777777" w:rsidR="00D013F2" w:rsidRPr="00FF54B1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54B1">
              <w:rPr>
                <w:rFonts w:ascii="Arial" w:hAnsi="Arial" w:cs="Arial"/>
                <w:b/>
                <w:sz w:val="24"/>
                <w:szCs w:val="24"/>
              </w:rPr>
              <w:t>Don’t order screening or routine chronic disease testing just because a blood draw is being done</w:t>
            </w:r>
          </w:p>
        </w:tc>
        <w:tc>
          <w:tcPr>
            <w:tcW w:w="2070" w:type="dxa"/>
            <w:vAlign w:val="center"/>
          </w:tcPr>
          <w:p w14:paraId="3108B245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1890" w:type="dxa"/>
            <w:vAlign w:val="center"/>
          </w:tcPr>
          <w:p w14:paraId="35ABD22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1BA9771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F4A4FD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8329E46" w14:textId="77777777" w:rsidTr="00E6069E">
        <w:tc>
          <w:tcPr>
            <w:tcW w:w="6570" w:type="dxa"/>
            <w:vAlign w:val="center"/>
          </w:tcPr>
          <w:p w14:paraId="2032EFEF" w14:textId="77777777" w:rsidR="00D013F2" w:rsidRPr="00D57C3A" w:rsidRDefault="00D013F2" w:rsidP="008038A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7C3A">
              <w:rPr>
                <w:rFonts w:ascii="Arial" w:hAnsi="Arial" w:cs="Arial"/>
                <w:b/>
                <w:sz w:val="24"/>
                <w:szCs w:val="24"/>
              </w:rPr>
              <w:t xml:space="preserve">Don’t use non-invasive prenatal detection of fetal aneuploidies by cell-free DNA as a diagnostic test. </w:t>
            </w:r>
          </w:p>
          <w:p w14:paraId="5D2B69BB" w14:textId="77777777" w:rsidR="00D013F2" w:rsidRPr="00D57C3A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58416D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Genetics</w:t>
            </w:r>
          </w:p>
        </w:tc>
        <w:tc>
          <w:tcPr>
            <w:tcW w:w="1890" w:type="dxa"/>
            <w:vAlign w:val="center"/>
          </w:tcPr>
          <w:p w14:paraId="176CB270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400629FC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858455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57E666C" w14:textId="77777777" w:rsidTr="00E6069E">
        <w:tc>
          <w:tcPr>
            <w:tcW w:w="6570" w:type="dxa"/>
            <w:vAlign w:val="center"/>
          </w:tcPr>
          <w:p w14:paraId="78EEC4C2" w14:textId="77777777" w:rsidR="00D013F2" w:rsidRPr="00D57C3A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C3A">
              <w:rPr>
                <w:rFonts w:ascii="Arial" w:hAnsi="Arial" w:cs="Arial"/>
                <w:b/>
                <w:sz w:val="24"/>
                <w:szCs w:val="24"/>
              </w:rPr>
              <w:t xml:space="preserve">Don’t make medical decisions based on results of direct to consumer genetic testing (DTC-GT) without a </w:t>
            </w:r>
            <w:r w:rsidRPr="00D57C3A">
              <w:rPr>
                <w:rFonts w:ascii="Arial" w:hAnsi="Arial" w:cs="Arial"/>
                <w:b/>
                <w:sz w:val="24"/>
                <w:szCs w:val="24"/>
              </w:rPr>
              <w:lastRenderedPageBreak/>
              <w:t>clear understanding of the limitations and validity of the test</w:t>
            </w:r>
          </w:p>
        </w:tc>
        <w:tc>
          <w:tcPr>
            <w:tcW w:w="2070" w:type="dxa"/>
            <w:vAlign w:val="center"/>
          </w:tcPr>
          <w:p w14:paraId="7AFF44CD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Medical Genetics</w:t>
            </w:r>
          </w:p>
        </w:tc>
        <w:tc>
          <w:tcPr>
            <w:tcW w:w="1890" w:type="dxa"/>
            <w:vAlign w:val="center"/>
          </w:tcPr>
          <w:p w14:paraId="2DFF761E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3C632A4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35A97C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E366E55" w14:textId="77777777" w:rsidTr="00E6069E">
        <w:tc>
          <w:tcPr>
            <w:tcW w:w="6570" w:type="dxa"/>
            <w:vAlign w:val="center"/>
          </w:tcPr>
          <w:p w14:paraId="5D2BF3A2" w14:textId="77777777" w:rsidR="00D013F2" w:rsidRPr="006058D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8D2">
              <w:rPr>
                <w:rFonts w:ascii="Arial" w:hAnsi="Arial" w:cs="Arial"/>
                <w:b/>
                <w:sz w:val="24"/>
                <w:szCs w:val="24"/>
              </w:rPr>
              <w:lastRenderedPageBreak/>
              <w:t>Don’t collect urine specimens for culture from adults who lack symptoms localizing to the urinary tract or fever unless they are pregnant or undergoing genitourinary instrumentation where mucosal bleeding is expected</w:t>
            </w:r>
          </w:p>
        </w:tc>
        <w:tc>
          <w:tcPr>
            <w:tcW w:w="2070" w:type="dxa"/>
            <w:vAlign w:val="center"/>
          </w:tcPr>
          <w:p w14:paraId="7A2E62BE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Microbiology</w:t>
            </w:r>
          </w:p>
        </w:tc>
        <w:tc>
          <w:tcPr>
            <w:tcW w:w="1890" w:type="dxa"/>
            <w:vAlign w:val="center"/>
          </w:tcPr>
          <w:p w14:paraId="608F0B82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6AB9570F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634DDCAC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3D17A6D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F68B00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3E90D10F" w14:textId="77777777" w:rsidTr="00E6069E">
        <w:tc>
          <w:tcPr>
            <w:tcW w:w="6570" w:type="dxa"/>
            <w:vAlign w:val="center"/>
          </w:tcPr>
          <w:p w14:paraId="0933B901" w14:textId="77777777" w:rsidR="00D013F2" w:rsidRPr="006058D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8D2">
              <w:rPr>
                <w:rFonts w:ascii="Arial" w:hAnsi="Arial" w:cs="Arial"/>
                <w:b/>
                <w:sz w:val="24"/>
                <w:szCs w:val="24"/>
              </w:rPr>
              <w:t xml:space="preserve">Don’t routinely collect or process specimens for </w:t>
            </w:r>
            <w:r w:rsidRPr="006058D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Clostridium </w:t>
            </w:r>
            <w:proofErr w:type="spellStart"/>
            <w:r w:rsidRPr="006058D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difficile</w:t>
            </w:r>
            <w:proofErr w:type="spellEnd"/>
            <w:r w:rsidRPr="006058D2">
              <w:rPr>
                <w:rFonts w:ascii="Arial" w:hAnsi="Arial" w:cs="Arial"/>
                <w:b/>
                <w:sz w:val="24"/>
                <w:szCs w:val="24"/>
              </w:rPr>
              <w:t xml:space="preserve"> testing when stool is non-liquid (i.e., does not take the shape of the specimen container) or when the patient has had a prior nucleic acid amplification test result within the past 7 days</w:t>
            </w:r>
          </w:p>
        </w:tc>
        <w:tc>
          <w:tcPr>
            <w:tcW w:w="2070" w:type="dxa"/>
            <w:vAlign w:val="center"/>
          </w:tcPr>
          <w:p w14:paraId="204D141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Microbiology</w:t>
            </w:r>
          </w:p>
        </w:tc>
        <w:tc>
          <w:tcPr>
            <w:tcW w:w="1890" w:type="dxa"/>
            <w:vAlign w:val="center"/>
          </w:tcPr>
          <w:p w14:paraId="480856B9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02F3E30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1596BF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CA908BA" w14:textId="77777777" w:rsidTr="00E6069E">
        <w:tc>
          <w:tcPr>
            <w:tcW w:w="6570" w:type="dxa"/>
            <w:vAlign w:val="center"/>
          </w:tcPr>
          <w:p w14:paraId="54B0F880" w14:textId="77777777" w:rsidR="00D013F2" w:rsidRPr="00A06A2B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A2B">
              <w:rPr>
                <w:rFonts w:ascii="Arial" w:hAnsi="Arial" w:cs="Arial"/>
                <w:b/>
                <w:sz w:val="24"/>
                <w:szCs w:val="24"/>
              </w:rPr>
              <w:t>Don’t obtain swabs from superficial ulcers for culture as they are prone to both false positive and false negative results with respect to the cause of the infection</w:t>
            </w:r>
          </w:p>
        </w:tc>
        <w:tc>
          <w:tcPr>
            <w:tcW w:w="2070" w:type="dxa"/>
            <w:vAlign w:val="center"/>
          </w:tcPr>
          <w:p w14:paraId="243A2E5A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Microbiology</w:t>
            </w:r>
          </w:p>
        </w:tc>
        <w:tc>
          <w:tcPr>
            <w:tcW w:w="1890" w:type="dxa"/>
            <w:vAlign w:val="center"/>
          </w:tcPr>
          <w:p w14:paraId="67110317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12B085B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9076B3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A9D918F" w14:textId="77777777" w:rsidTr="00E6069E">
        <w:tc>
          <w:tcPr>
            <w:tcW w:w="6570" w:type="dxa"/>
            <w:vAlign w:val="center"/>
          </w:tcPr>
          <w:p w14:paraId="0BC0A90E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Don’t prescribe </w:t>
            </w:r>
            <w:proofErr w:type="spell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nonsteroidal</w:t>
            </w:r>
            <w:proofErr w:type="spellEnd"/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 anti-inflammatory drugs (NSAIDS) in individuals with hypertension or heart failure or CKD of all causes, including diabetes.</w:t>
            </w:r>
          </w:p>
        </w:tc>
        <w:tc>
          <w:tcPr>
            <w:tcW w:w="2070" w:type="dxa"/>
            <w:vAlign w:val="center"/>
          </w:tcPr>
          <w:p w14:paraId="79223D9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Nephrology</w:t>
            </w:r>
          </w:p>
        </w:tc>
        <w:tc>
          <w:tcPr>
            <w:tcW w:w="1890" w:type="dxa"/>
            <w:vAlign w:val="center"/>
          </w:tcPr>
          <w:p w14:paraId="31A2FE2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54FD5F6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74203EE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DDD2EB0" w14:textId="77777777" w:rsidTr="00E6069E">
        <w:tc>
          <w:tcPr>
            <w:tcW w:w="6570" w:type="dxa"/>
            <w:vAlign w:val="center"/>
          </w:tcPr>
          <w:p w14:paraId="69E5FB74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angiotensin converting enzyme (ACE) inhibitors in combination with angiotensin II receptor blockers (ARBs) for the treatment of hypertension, diabetic nephropathy and heart failure.</w:t>
            </w:r>
          </w:p>
        </w:tc>
        <w:tc>
          <w:tcPr>
            <w:tcW w:w="2070" w:type="dxa"/>
            <w:vAlign w:val="center"/>
          </w:tcPr>
          <w:p w14:paraId="36EC8F8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Nephrology</w:t>
            </w:r>
          </w:p>
        </w:tc>
        <w:tc>
          <w:tcPr>
            <w:tcW w:w="1890" w:type="dxa"/>
            <w:vAlign w:val="center"/>
          </w:tcPr>
          <w:p w14:paraId="2C4BB1B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6EEEB59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6B94D7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FCA3D88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4954DDB8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use nuclear medicine thyroid scans to evaluate thyroid nodules in patients with normal thyroid gland function.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7CAB62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Nuclear Medicine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6BA0B7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A56E19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1A613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91117C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90E4841" w14:textId="77777777" w:rsidTr="00E6069E">
        <w:tc>
          <w:tcPr>
            <w:tcW w:w="6570" w:type="dxa"/>
            <w:vAlign w:val="center"/>
          </w:tcPr>
          <w:p w14:paraId="2CA75736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repeat DEXA scans more often than every two years in the absence of high risk or new risk factors.</w:t>
            </w:r>
          </w:p>
          <w:p w14:paraId="2AC96D10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9CC5E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repeat dual energy X-ray absorptiometry (DEXA) scans more often than every 2 years.</w:t>
            </w:r>
          </w:p>
        </w:tc>
        <w:tc>
          <w:tcPr>
            <w:tcW w:w="2070" w:type="dxa"/>
            <w:vAlign w:val="center"/>
          </w:tcPr>
          <w:p w14:paraId="51D1E58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Nuclear Medicine</w:t>
            </w:r>
          </w:p>
          <w:p w14:paraId="7C601CE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428D9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3F678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Rheumatology</w:t>
            </w:r>
          </w:p>
        </w:tc>
        <w:tc>
          <w:tcPr>
            <w:tcW w:w="1890" w:type="dxa"/>
            <w:vAlign w:val="center"/>
          </w:tcPr>
          <w:p w14:paraId="5D734EF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BA8C73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980" w:type="dxa"/>
            <w:vAlign w:val="center"/>
          </w:tcPr>
          <w:p w14:paraId="04EFB4B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AF4B69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1A448D6" w14:textId="77777777" w:rsidTr="00E6069E">
        <w:tc>
          <w:tcPr>
            <w:tcW w:w="6570" w:type="dxa"/>
            <w:vAlign w:val="center"/>
          </w:tcPr>
          <w:p w14:paraId="53F6A753" w14:textId="77777777" w:rsidR="00D013F2" w:rsidRPr="004F63E9" w:rsidRDefault="00D013F2" w:rsidP="008038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2C463B">
              <w:rPr>
                <w:rFonts w:ascii="Arial" w:hAnsi="Arial" w:cs="Arial"/>
                <w:b/>
                <w:sz w:val="24"/>
                <w:szCs w:val="24"/>
              </w:rPr>
              <w:t>Avoid the use of routine episiotomy in spontaneous vaginal births.</w:t>
            </w:r>
          </w:p>
        </w:tc>
        <w:tc>
          <w:tcPr>
            <w:tcW w:w="2070" w:type="dxa"/>
            <w:vAlign w:val="center"/>
          </w:tcPr>
          <w:p w14:paraId="387E007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Obstetrics &amp; Gynecology</w:t>
            </w:r>
          </w:p>
        </w:tc>
        <w:tc>
          <w:tcPr>
            <w:tcW w:w="1890" w:type="dxa"/>
            <w:vAlign w:val="center"/>
          </w:tcPr>
          <w:p w14:paraId="54E45228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630B793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5FF639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9C3B85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7E1758B" w14:textId="77777777" w:rsidTr="00E6069E">
        <w:tc>
          <w:tcPr>
            <w:tcW w:w="6570" w:type="dxa"/>
            <w:vAlign w:val="center"/>
          </w:tcPr>
          <w:p w14:paraId="468B2CAF" w14:textId="77777777" w:rsidR="00D013F2" w:rsidRPr="004F63E9" w:rsidRDefault="00D013F2" w:rsidP="008038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B30EB6">
              <w:rPr>
                <w:rFonts w:ascii="Arial" w:hAnsi="Arial" w:cs="Arial"/>
                <w:b/>
                <w:sz w:val="24"/>
                <w:szCs w:val="24"/>
              </w:rPr>
              <w:t xml:space="preserve">Don’t do electronic fetal monitoring for low risk women </w:t>
            </w:r>
            <w:r w:rsidRPr="00B30EB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 </w:t>
            </w:r>
            <w:proofErr w:type="spellStart"/>
            <w:r w:rsidRPr="00B30EB6">
              <w:rPr>
                <w:rFonts w:ascii="Arial" w:hAnsi="Arial" w:cs="Arial"/>
                <w:b/>
                <w:sz w:val="24"/>
                <w:szCs w:val="24"/>
              </w:rPr>
              <w:t>labour</w:t>
            </w:r>
            <w:proofErr w:type="spellEnd"/>
            <w:r w:rsidRPr="00B30EB6">
              <w:rPr>
                <w:rFonts w:ascii="Arial" w:hAnsi="Arial" w:cs="Arial"/>
                <w:b/>
                <w:sz w:val="24"/>
                <w:szCs w:val="24"/>
              </w:rPr>
              <w:t>; use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0EB6">
              <w:rPr>
                <w:rFonts w:ascii="Arial" w:hAnsi="Arial" w:cs="Arial"/>
                <w:b/>
                <w:sz w:val="24"/>
                <w:szCs w:val="24"/>
              </w:rPr>
              <w:t>intermittent auscultation.</w:t>
            </w:r>
          </w:p>
        </w:tc>
        <w:tc>
          <w:tcPr>
            <w:tcW w:w="2070" w:type="dxa"/>
            <w:vAlign w:val="center"/>
          </w:tcPr>
          <w:p w14:paraId="643E017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Obstetrics &amp; Gynecology</w:t>
            </w:r>
          </w:p>
        </w:tc>
        <w:tc>
          <w:tcPr>
            <w:tcW w:w="1890" w:type="dxa"/>
            <w:vAlign w:val="center"/>
          </w:tcPr>
          <w:p w14:paraId="39CB7F3C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EDCF97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0E5A12F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960F9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9C14098" w14:textId="77777777" w:rsidTr="00E6069E">
        <w:tc>
          <w:tcPr>
            <w:tcW w:w="6570" w:type="dxa"/>
            <w:vAlign w:val="center"/>
          </w:tcPr>
          <w:p w14:paraId="6F670CDE" w14:textId="77777777" w:rsidR="00D013F2" w:rsidRPr="004231D7" w:rsidRDefault="00D013F2" w:rsidP="008038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231D7">
              <w:rPr>
                <w:rFonts w:ascii="Arial" w:hAnsi="Arial" w:cs="Arial"/>
                <w:b/>
                <w:sz w:val="24"/>
                <w:szCs w:val="24"/>
              </w:rPr>
              <w:lastRenderedPageBreak/>
              <w:t>Don’t perform routine urinalysis (protein, glucose) at every antenatal visit (in low risk normotensive women).</w:t>
            </w:r>
          </w:p>
        </w:tc>
        <w:tc>
          <w:tcPr>
            <w:tcW w:w="2070" w:type="dxa"/>
            <w:vAlign w:val="center"/>
          </w:tcPr>
          <w:p w14:paraId="5F65836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Obstetrics &amp; Gynecology</w:t>
            </w:r>
          </w:p>
        </w:tc>
        <w:tc>
          <w:tcPr>
            <w:tcW w:w="1890" w:type="dxa"/>
            <w:vAlign w:val="center"/>
          </w:tcPr>
          <w:p w14:paraId="546EEFB1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EEE3B0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Efficiency</w:t>
            </w:r>
          </w:p>
        </w:tc>
        <w:tc>
          <w:tcPr>
            <w:tcW w:w="1980" w:type="dxa"/>
            <w:vAlign w:val="center"/>
          </w:tcPr>
          <w:p w14:paraId="545A902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159B6A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D7D8B2D" w14:textId="77777777" w:rsidTr="00E6069E">
        <w:tc>
          <w:tcPr>
            <w:tcW w:w="6570" w:type="dxa"/>
            <w:vAlign w:val="center"/>
          </w:tcPr>
          <w:p w14:paraId="65D7E0D5" w14:textId="0A02C996" w:rsidR="00D013F2" w:rsidRPr="004231D7" w:rsidRDefault="00D013F2" w:rsidP="00803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231D7">
              <w:rPr>
                <w:rFonts w:ascii="Arial" w:hAnsi="Arial" w:cs="Arial"/>
                <w:b/>
                <w:sz w:val="24"/>
                <w:szCs w:val="24"/>
              </w:rPr>
              <w:t xml:space="preserve">Don’t use </w:t>
            </w:r>
            <w:proofErr w:type="spellStart"/>
            <w:r w:rsidRPr="004231D7">
              <w:rPr>
                <w:rFonts w:ascii="Arial" w:hAnsi="Arial" w:cs="Arial"/>
                <w:b/>
                <w:sz w:val="24"/>
                <w:szCs w:val="24"/>
              </w:rPr>
              <w:t>meperidine</w:t>
            </w:r>
            <w:proofErr w:type="spellEnd"/>
            <w:r w:rsidRPr="004231D7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proofErr w:type="spellStart"/>
            <w:r w:rsidRPr="004231D7">
              <w:rPr>
                <w:rFonts w:ascii="Arial" w:hAnsi="Arial" w:cs="Arial"/>
                <w:b/>
                <w:sz w:val="24"/>
                <w:szCs w:val="24"/>
              </w:rPr>
              <w:t>labour</w:t>
            </w:r>
            <w:proofErr w:type="spellEnd"/>
            <w:r w:rsidRPr="004231D7">
              <w:rPr>
                <w:rFonts w:ascii="Arial" w:hAnsi="Arial" w:cs="Arial"/>
                <w:b/>
                <w:sz w:val="24"/>
                <w:szCs w:val="24"/>
              </w:rPr>
              <w:t xml:space="preserve"> analgesia</w:t>
            </w:r>
            <w:r w:rsidR="00A063F9">
              <w:rPr>
                <w:rFonts w:ascii="Arial" w:hAnsi="Arial" w:cs="Arial"/>
                <w:b/>
                <w:sz w:val="24"/>
                <w:szCs w:val="24"/>
              </w:rPr>
              <w:t xml:space="preserve"> due to its long-acting active </w:t>
            </w:r>
            <w:r w:rsidRPr="004231D7">
              <w:rPr>
                <w:rFonts w:ascii="Arial" w:hAnsi="Arial" w:cs="Arial"/>
                <w:b/>
                <w:sz w:val="24"/>
                <w:szCs w:val="24"/>
              </w:rPr>
              <w:t xml:space="preserve">metabolites and negative effects on neonatal </w:t>
            </w:r>
            <w:proofErr w:type="spellStart"/>
            <w:r w:rsidRPr="004231D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  <w:proofErr w:type="spellEnd"/>
            <w:r w:rsidRPr="004231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vAlign w:val="center"/>
          </w:tcPr>
          <w:p w14:paraId="25D92E83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Obstetrics &amp; Gynecology</w:t>
            </w:r>
          </w:p>
        </w:tc>
        <w:tc>
          <w:tcPr>
            <w:tcW w:w="1890" w:type="dxa"/>
            <w:vAlign w:val="center"/>
          </w:tcPr>
          <w:p w14:paraId="17DA16F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4B0684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E9D8ED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3632F707" w14:textId="77777777" w:rsidTr="00E6069E">
        <w:tc>
          <w:tcPr>
            <w:tcW w:w="6570" w:type="dxa"/>
            <w:vAlign w:val="center"/>
          </w:tcPr>
          <w:p w14:paraId="7450F23F" w14:textId="77777777" w:rsidR="00D013F2" w:rsidRPr="004231D7" w:rsidRDefault="00D013F2" w:rsidP="008038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231D7">
              <w:rPr>
                <w:rFonts w:ascii="Arial" w:hAnsi="Arial" w:cs="Arial"/>
                <w:b/>
                <w:sz w:val="24"/>
                <w:szCs w:val="24"/>
              </w:rPr>
              <w:t>Don’t routinely screen women with Pap smears if under 21 years of age or over 69 years of age.</w:t>
            </w:r>
          </w:p>
        </w:tc>
        <w:tc>
          <w:tcPr>
            <w:tcW w:w="2070" w:type="dxa"/>
            <w:vAlign w:val="center"/>
          </w:tcPr>
          <w:p w14:paraId="606A3DD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Obstetrics &amp; Gynecology</w:t>
            </w:r>
          </w:p>
        </w:tc>
        <w:tc>
          <w:tcPr>
            <w:tcW w:w="1890" w:type="dxa"/>
            <w:vAlign w:val="center"/>
          </w:tcPr>
          <w:p w14:paraId="66D4458A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87C9B7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F6435DC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27323D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4EA30A3" w14:textId="77777777" w:rsidTr="00E6069E">
        <w:tc>
          <w:tcPr>
            <w:tcW w:w="6570" w:type="dxa"/>
            <w:vAlign w:val="center"/>
          </w:tcPr>
          <w:p w14:paraId="5C3B8E0D" w14:textId="77777777" w:rsidR="00D013F2" w:rsidRPr="004231D7" w:rsidRDefault="00D013F2" w:rsidP="008038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231D7">
              <w:rPr>
                <w:rFonts w:ascii="Arial" w:hAnsi="Arial" w:cs="Arial"/>
                <w:b/>
                <w:sz w:val="24"/>
                <w:szCs w:val="24"/>
              </w:rPr>
              <w:t>Don’t screen for ovarian cancer in asymptomatic women at average risk.</w:t>
            </w:r>
          </w:p>
        </w:tc>
        <w:tc>
          <w:tcPr>
            <w:tcW w:w="2070" w:type="dxa"/>
            <w:vAlign w:val="center"/>
          </w:tcPr>
          <w:p w14:paraId="73C55FA3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Obstetrics &amp; Gynecology</w:t>
            </w:r>
          </w:p>
        </w:tc>
        <w:tc>
          <w:tcPr>
            <w:tcW w:w="1890" w:type="dxa"/>
            <w:vAlign w:val="center"/>
          </w:tcPr>
          <w:p w14:paraId="75F2E50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02491E4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A1B5073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EC8" w:rsidRPr="004F63E9" w14:paraId="013188C2" w14:textId="77777777" w:rsidTr="00E6069E">
        <w:tc>
          <w:tcPr>
            <w:tcW w:w="6570" w:type="dxa"/>
            <w:vAlign w:val="center"/>
          </w:tcPr>
          <w:p w14:paraId="0D8EFA80" w14:textId="77777777" w:rsidR="00FF6EC8" w:rsidRPr="00FF6EC8" w:rsidRDefault="00FF6EC8" w:rsidP="00FF6EC8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FF6EC8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lang w:val="en-CA"/>
              </w:rPr>
              <w:t>Don’t routinely order hormone levels including estradiol, progesterone, follicle-stimulating hormone and luteinizing hormone in postmenopausal women or after a hysterectomy, either to diagnose menopause or to manage hormone therapy.</w:t>
            </w:r>
          </w:p>
          <w:p w14:paraId="539B13FB" w14:textId="77777777" w:rsidR="00FF6EC8" w:rsidRPr="004231D7" w:rsidRDefault="00FF6EC8" w:rsidP="008038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F5A6BE1" w14:textId="6AD071B0" w:rsidR="00FF6EC8" w:rsidRDefault="00FF6EC8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Obstetrics &amp; Gynecology</w:t>
            </w:r>
          </w:p>
        </w:tc>
        <w:tc>
          <w:tcPr>
            <w:tcW w:w="1890" w:type="dxa"/>
            <w:vAlign w:val="center"/>
          </w:tcPr>
          <w:p w14:paraId="59A66605" w14:textId="77777777" w:rsidR="00FF6EC8" w:rsidRDefault="00FF6EC8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AE9A5ED" w14:textId="4DCE8687" w:rsidR="00FF6EC8" w:rsidRDefault="00FF6EC8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Efficiency</w:t>
            </w:r>
          </w:p>
        </w:tc>
        <w:tc>
          <w:tcPr>
            <w:tcW w:w="1980" w:type="dxa"/>
            <w:vAlign w:val="center"/>
          </w:tcPr>
          <w:p w14:paraId="008F5370" w14:textId="77777777" w:rsidR="00FF6EC8" w:rsidRPr="004F63E9" w:rsidRDefault="00FF6EC8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580971A" w14:textId="77777777" w:rsidR="00FF6EC8" w:rsidRPr="004F63E9" w:rsidRDefault="00FF6EC8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A4777B9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7758940F" w14:textId="5FA4BC09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endorse clinically unnecessary absence from work.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C35022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Occupational Medicine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8A0720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7E42500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05EBB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B2FF7E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2ECC4D2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12C8BD44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repeat chest X-rays when screening exposed workers for asbestosis unless clinical indications are present.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A11910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Occupational Medicine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EF488C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630746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EEE7D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740FB1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D7864FA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204779B1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perform routine cancer screening, or surveillance for a new primary cancer, in the majority of patients with metastatic disease.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114472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Oncology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1F98FE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E13A0A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2074F4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D7533B3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1EC6A809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delay or avoid palliative care for a patient with metastatic cancer because they are pursuing disease-directed treatment.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629133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Oncology</w:t>
            </w:r>
          </w:p>
          <w:p w14:paraId="30D437A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Palliative Care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867940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8A6974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06444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3DC2A91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444D3BCF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Don’t deliver care (e.g., follow-up) in a high-cost setting (e.g., inpatient, cancer center) that could be delivered just as effectively in a lower-cost setting (e.g., primary </w:t>
            </w:r>
            <w:r w:rsidRPr="004F63E9">
              <w:rPr>
                <w:rFonts w:ascii="Arial" w:hAnsi="Arial" w:cs="Arial"/>
                <w:b/>
                <w:sz w:val="24"/>
                <w:szCs w:val="24"/>
              </w:rPr>
              <w:lastRenderedPageBreak/>
              <w:t>care).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1FC4FA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lastRenderedPageBreak/>
              <w:t>Oncology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789E476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700E4E5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6FDF764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lastRenderedPageBreak/>
              <w:t>Access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AC88CF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AD54C4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2A0CBF9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4059D04C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lastRenderedPageBreak/>
              <w:t>Don’t use glucosamine and chondroitin to treat patients with symptomatic osteoarthritis of the knee.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098C25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Orthopedics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F65199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4938B5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B55B8D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BD6DB04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2DBDEE51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630">
              <w:rPr>
                <w:rFonts w:ascii="Arial" w:hAnsi="Arial" w:cs="Arial"/>
                <w:b/>
                <w:sz w:val="24"/>
                <w:szCs w:val="24"/>
              </w:rPr>
              <w:t xml:space="preserve">Don’t use oral antibiotics as a first line treatment for patients with painless ear drainage associated with a tympanic membrane perforation or </w:t>
            </w:r>
            <w:proofErr w:type="spellStart"/>
            <w:r w:rsidRPr="00134630">
              <w:rPr>
                <w:rFonts w:ascii="Arial" w:hAnsi="Arial" w:cs="Arial"/>
                <w:b/>
                <w:sz w:val="24"/>
                <w:szCs w:val="24"/>
              </w:rPr>
              <w:t>tympanostomy</w:t>
            </w:r>
            <w:proofErr w:type="spellEnd"/>
            <w:r w:rsidRPr="00134630">
              <w:rPr>
                <w:rFonts w:ascii="Arial" w:hAnsi="Arial" w:cs="Arial"/>
                <w:b/>
                <w:sz w:val="24"/>
                <w:szCs w:val="24"/>
              </w:rPr>
              <w:t xml:space="preserve"> tube unless there is evidence of developing cellulitis in the external ear canal skin and pinna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A6C719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Otolaryngology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D4F8C38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4FC327A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CD5B77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DEC431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0AA" w:rsidRPr="004F63E9" w14:paraId="246FA7AE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420ACEB0" w14:textId="33A7FC4C" w:rsidR="002400AA" w:rsidRPr="002400AA" w:rsidRDefault="002400AA" w:rsidP="002400A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2400AA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shd w:val="clear" w:color="auto" w:fill="FFFFFF"/>
                <w:lang w:val="en-CA"/>
              </w:rPr>
              <w:t xml:space="preserve">Don't order neck ultrasound to investigate odynophagia (discomfort or pain with swallowing) or </w:t>
            </w:r>
            <w:proofErr w:type="spellStart"/>
            <w:r w:rsidRPr="002400AA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shd w:val="clear" w:color="auto" w:fill="FFFFFF"/>
                <w:lang w:val="en-CA"/>
              </w:rPr>
              <w:t>globus</w:t>
            </w:r>
            <w:proofErr w:type="spellEnd"/>
            <w:r w:rsidRPr="002400AA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shd w:val="clear" w:color="auto" w:fill="FFFFFF"/>
                <w:lang w:val="en-CA"/>
              </w:rPr>
              <w:t xml:space="preserve"> sensation</w:t>
            </w:r>
          </w:p>
          <w:p w14:paraId="329EA36C" w14:textId="77777777" w:rsidR="002400AA" w:rsidRPr="00134630" w:rsidRDefault="002400AA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AF02AA6" w14:textId="44A1F65C" w:rsidR="002400AA" w:rsidRDefault="002400AA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Otolaryngology – Head and Neck Surgery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AA0CF90" w14:textId="4E86B897" w:rsidR="002400AA" w:rsidRDefault="002400AA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479610" w14:textId="77777777" w:rsidR="002400AA" w:rsidRPr="004F63E9" w:rsidRDefault="002400AA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354B9FB" w14:textId="77777777" w:rsidR="002400AA" w:rsidRPr="004F63E9" w:rsidRDefault="002400AA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3AD0271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772D6F31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order a routine ultrasound for umbilical and/or inguinal hernia.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50F9BB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Pediatric Surgery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2D5B17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B070BD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85DDB2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D1519C6" w14:textId="77777777" w:rsidTr="00E6069E">
        <w:tc>
          <w:tcPr>
            <w:tcW w:w="6570" w:type="dxa"/>
            <w:vAlign w:val="center"/>
          </w:tcPr>
          <w:p w14:paraId="7F438762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order a routine ultrasound for children with undescended testes.</w:t>
            </w:r>
          </w:p>
        </w:tc>
        <w:tc>
          <w:tcPr>
            <w:tcW w:w="2070" w:type="dxa"/>
            <w:vAlign w:val="center"/>
          </w:tcPr>
          <w:p w14:paraId="5CADAEB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Pediatric Surgery</w:t>
            </w:r>
          </w:p>
          <w:p w14:paraId="0E15775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Urology</w:t>
            </w:r>
          </w:p>
        </w:tc>
        <w:tc>
          <w:tcPr>
            <w:tcW w:w="1890" w:type="dxa"/>
            <w:vAlign w:val="center"/>
          </w:tcPr>
          <w:p w14:paraId="688FB63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6C4E60F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5EB407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DAAD90A" w14:textId="77777777" w:rsidTr="00E6069E">
        <w:tc>
          <w:tcPr>
            <w:tcW w:w="6570" w:type="dxa"/>
            <w:vAlign w:val="center"/>
          </w:tcPr>
          <w:p w14:paraId="2D8ACD7F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delay referral for undescended testes beyond 6 months of age.</w:t>
            </w:r>
          </w:p>
        </w:tc>
        <w:tc>
          <w:tcPr>
            <w:tcW w:w="2070" w:type="dxa"/>
            <w:vAlign w:val="center"/>
          </w:tcPr>
          <w:p w14:paraId="40FA51A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Pediatric Surgery</w:t>
            </w:r>
          </w:p>
        </w:tc>
        <w:tc>
          <w:tcPr>
            <w:tcW w:w="1890" w:type="dxa"/>
            <w:vAlign w:val="center"/>
          </w:tcPr>
          <w:p w14:paraId="5E1C8A87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07FB42B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D3B795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53ECC9D" w14:textId="77777777" w:rsidTr="00E6069E">
        <w:tc>
          <w:tcPr>
            <w:tcW w:w="6570" w:type="dxa"/>
            <w:vAlign w:val="center"/>
          </w:tcPr>
          <w:p w14:paraId="1E555E0E" w14:textId="77777777" w:rsidR="00D013F2" w:rsidRPr="0031146F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Don’t image a midline dimple related to the coccyx in an asymptomatic infant or child.</w:t>
            </w:r>
          </w:p>
        </w:tc>
        <w:tc>
          <w:tcPr>
            <w:tcW w:w="2070" w:type="dxa"/>
            <w:vAlign w:val="center"/>
          </w:tcPr>
          <w:p w14:paraId="4C05F78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Pediatric Neurosurgery</w:t>
            </w:r>
          </w:p>
        </w:tc>
        <w:tc>
          <w:tcPr>
            <w:tcW w:w="1890" w:type="dxa"/>
            <w:vAlign w:val="center"/>
          </w:tcPr>
          <w:p w14:paraId="1BF5077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222B9CB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E2825C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5CF1977" w14:textId="77777777" w:rsidTr="00E6069E">
        <w:tc>
          <w:tcPr>
            <w:tcW w:w="6570" w:type="dxa"/>
            <w:vAlign w:val="center"/>
          </w:tcPr>
          <w:p w14:paraId="353C8438" w14:textId="77777777" w:rsidR="00D013F2" w:rsidRPr="002B4E4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E42">
              <w:rPr>
                <w:rFonts w:ascii="Arial" w:hAnsi="Arial" w:cs="Arial"/>
                <w:b/>
                <w:sz w:val="24"/>
                <w:szCs w:val="24"/>
              </w:rPr>
              <w:t xml:space="preserve">Don’t routinely use acid blockers or motility agents for the treatment of </w:t>
            </w:r>
            <w:proofErr w:type="spellStart"/>
            <w:r w:rsidRPr="002B4E42">
              <w:rPr>
                <w:rFonts w:ascii="Arial" w:hAnsi="Arial" w:cs="Arial"/>
                <w:b/>
                <w:sz w:val="24"/>
                <w:szCs w:val="24"/>
              </w:rPr>
              <w:t>gastroesophageal</w:t>
            </w:r>
            <w:proofErr w:type="spellEnd"/>
            <w:r w:rsidRPr="002B4E42">
              <w:rPr>
                <w:rFonts w:ascii="Arial" w:hAnsi="Arial" w:cs="Arial"/>
                <w:b/>
                <w:sz w:val="24"/>
                <w:szCs w:val="24"/>
              </w:rPr>
              <w:t xml:space="preserve"> reflux in infants</w:t>
            </w:r>
          </w:p>
        </w:tc>
        <w:tc>
          <w:tcPr>
            <w:tcW w:w="2070" w:type="dxa"/>
            <w:vAlign w:val="center"/>
          </w:tcPr>
          <w:p w14:paraId="6DA9225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Pediatrics</w:t>
            </w:r>
          </w:p>
        </w:tc>
        <w:tc>
          <w:tcPr>
            <w:tcW w:w="1890" w:type="dxa"/>
            <w:vAlign w:val="center"/>
          </w:tcPr>
          <w:p w14:paraId="0C98820A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1C15FE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0289B39C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7BC171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B1D95CC" w14:textId="77777777" w:rsidTr="00E6069E">
        <w:tc>
          <w:tcPr>
            <w:tcW w:w="6570" w:type="dxa"/>
            <w:vAlign w:val="center"/>
          </w:tcPr>
          <w:p w14:paraId="7510AC8A" w14:textId="77777777" w:rsidR="00D013F2" w:rsidRPr="00CC2DE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2DE2">
              <w:rPr>
                <w:rFonts w:ascii="Arial" w:hAnsi="Arial" w:cs="Arial"/>
                <w:b/>
                <w:sz w:val="24"/>
                <w:szCs w:val="24"/>
              </w:rPr>
              <w:t xml:space="preserve">Don’t administer </w:t>
            </w:r>
            <w:proofErr w:type="spellStart"/>
            <w:r w:rsidRPr="00CC2DE2">
              <w:rPr>
                <w:rFonts w:ascii="Arial" w:hAnsi="Arial" w:cs="Arial"/>
                <w:b/>
                <w:sz w:val="24"/>
                <w:szCs w:val="24"/>
              </w:rPr>
              <w:t>psychostimulant</w:t>
            </w:r>
            <w:proofErr w:type="spellEnd"/>
            <w:r w:rsidRPr="00CC2DE2">
              <w:rPr>
                <w:rFonts w:ascii="Arial" w:hAnsi="Arial" w:cs="Arial"/>
                <w:b/>
                <w:sz w:val="24"/>
                <w:szCs w:val="24"/>
              </w:rPr>
              <w:t xml:space="preserve"> medications to preschool children with Attention Deficit Disorder (ADD), but offer parent-administered </w:t>
            </w:r>
            <w:proofErr w:type="spellStart"/>
            <w:r w:rsidRPr="00CC2DE2">
              <w:rPr>
                <w:rFonts w:ascii="Arial" w:hAnsi="Arial" w:cs="Arial"/>
                <w:b/>
                <w:sz w:val="24"/>
                <w:szCs w:val="24"/>
              </w:rPr>
              <w:t>behavioural</w:t>
            </w:r>
            <w:proofErr w:type="spellEnd"/>
            <w:r w:rsidRPr="00CC2DE2">
              <w:rPr>
                <w:rFonts w:ascii="Arial" w:hAnsi="Arial" w:cs="Arial"/>
                <w:b/>
                <w:sz w:val="24"/>
                <w:szCs w:val="24"/>
              </w:rPr>
              <w:t xml:space="preserve"> therapy.</w:t>
            </w:r>
          </w:p>
        </w:tc>
        <w:tc>
          <w:tcPr>
            <w:tcW w:w="2070" w:type="dxa"/>
            <w:vAlign w:val="center"/>
          </w:tcPr>
          <w:p w14:paraId="1BB820D2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Pediatrics</w:t>
            </w:r>
          </w:p>
        </w:tc>
        <w:tc>
          <w:tcPr>
            <w:tcW w:w="1890" w:type="dxa"/>
            <w:vAlign w:val="center"/>
          </w:tcPr>
          <w:p w14:paraId="01CFE758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FEAC049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0BDF758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ACB80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67D4E45" w14:textId="77777777" w:rsidTr="00E6069E">
        <w:tc>
          <w:tcPr>
            <w:tcW w:w="6570" w:type="dxa"/>
            <w:vAlign w:val="center"/>
          </w:tcPr>
          <w:p w14:paraId="3908B376" w14:textId="77777777" w:rsidR="00D013F2" w:rsidRPr="0072042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429">
              <w:rPr>
                <w:rFonts w:ascii="Arial" w:hAnsi="Arial" w:cs="Arial"/>
                <w:b/>
                <w:sz w:val="24"/>
                <w:szCs w:val="24"/>
              </w:rPr>
              <w:t>Don’t routinely do a throat swab when children present with a sore throat if they have a cough, rhinitis, or hoarseness as they almost certainly have viral pharyngitis.</w:t>
            </w:r>
          </w:p>
        </w:tc>
        <w:tc>
          <w:tcPr>
            <w:tcW w:w="2070" w:type="dxa"/>
            <w:vAlign w:val="center"/>
          </w:tcPr>
          <w:p w14:paraId="1DD9958E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Pediatrics</w:t>
            </w:r>
          </w:p>
        </w:tc>
        <w:tc>
          <w:tcPr>
            <w:tcW w:w="1890" w:type="dxa"/>
            <w:vAlign w:val="center"/>
          </w:tcPr>
          <w:p w14:paraId="3F4B1A57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F3E467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Efficiency</w:t>
            </w:r>
          </w:p>
        </w:tc>
        <w:tc>
          <w:tcPr>
            <w:tcW w:w="1980" w:type="dxa"/>
            <w:vAlign w:val="center"/>
          </w:tcPr>
          <w:p w14:paraId="5321E1F3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5E6133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A484645" w14:textId="77777777" w:rsidTr="00E6069E">
        <w:tc>
          <w:tcPr>
            <w:tcW w:w="6570" w:type="dxa"/>
            <w:vAlign w:val="center"/>
          </w:tcPr>
          <w:p w14:paraId="4030ACF8" w14:textId="77777777" w:rsidR="00D013F2" w:rsidRPr="00665002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002">
              <w:rPr>
                <w:rFonts w:ascii="Arial" w:hAnsi="Arial" w:cs="Arial"/>
                <w:b/>
                <w:sz w:val="24"/>
                <w:szCs w:val="24"/>
              </w:rPr>
              <w:t>Don’t recommend the use of cough and cold remedies in children under six years of age</w:t>
            </w:r>
          </w:p>
        </w:tc>
        <w:tc>
          <w:tcPr>
            <w:tcW w:w="2070" w:type="dxa"/>
            <w:vAlign w:val="center"/>
          </w:tcPr>
          <w:p w14:paraId="26688255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Pediatrics</w:t>
            </w:r>
          </w:p>
        </w:tc>
        <w:tc>
          <w:tcPr>
            <w:tcW w:w="1890" w:type="dxa"/>
            <w:vAlign w:val="center"/>
          </w:tcPr>
          <w:p w14:paraId="125CC15C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B72AF08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49B179C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898D5A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FF5480D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21BCBB88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delay advance care planning conversations.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0730A8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Palliative Care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8689B4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0194397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442C11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2E44858" w14:textId="77777777" w:rsidTr="00E6069E">
        <w:tc>
          <w:tcPr>
            <w:tcW w:w="6570" w:type="dxa"/>
            <w:vAlign w:val="center"/>
          </w:tcPr>
          <w:p w14:paraId="4FD9C7E7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use stool softeners alone to prevent opioid induced constipation.</w:t>
            </w:r>
          </w:p>
        </w:tc>
        <w:tc>
          <w:tcPr>
            <w:tcW w:w="2070" w:type="dxa"/>
            <w:vAlign w:val="center"/>
          </w:tcPr>
          <w:p w14:paraId="70D6D70F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Palliative Care</w:t>
            </w:r>
          </w:p>
        </w:tc>
        <w:tc>
          <w:tcPr>
            <w:tcW w:w="1890" w:type="dxa"/>
            <w:vAlign w:val="center"/>
          </w:tcPr>
          <w:p w14:paraId="7D055B1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184C9A3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lastRenderedPageBreak/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6E38604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3D2A3D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BAF6FE0" w14:textId="77777777" w:rsidTr="00E6069E">
        <w:tc>
          <w:tcPr>
            <w:tcW w:w="6570" w:type="dxa"/>
            <w:vAlign w:val="center"/>
          </w:tcPr>
          <w:p w14:paraId="4AB83E9F" w14:textId="77777777" w:rsidR="00D013F2" w:rsidRPr="00E718A0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8A0">
              <w:rPr>
                <w:rFonts w:ascii="Arial" w:hAnsi="Arial" w:cs="Arial"/>
                <w:b/>
                <w:sz w:val="24"/>
                <w:szCs w:val="24"/>
              </w:rPr>
              <w:lastRenderedPageBreak/>
              <w:t>Don’t treat asymptomatic urinary tract infections in catheterized patients</w:t>
            </w:r>
          </w:p>
        </w:tc>
        <w:tc>
          <w:tcPr>
            <w:tcW w:w="2070" w:type="dxa"/>
            <w:vAlign w:val="center"/>
          </w:tcPr>
          <w:p w14:paraId="19472DC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Medicine &amp; Rehabilitation</w:t>
            </w:r>
          </w:p>
        </w:tc>
        <w:tc>
          <w:tcPr>
            <w:tcW w:w="1890" w:type="dxa"/>
            <w:vAlign w:val="center"/>
          </w:tcPr>
          <w:p w14:paraId="5AB336B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8467F5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338F1DC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476C6A5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40C6A64" w14:textId="77777777" w:rsidTr="00E6069E">
        <w:tc>
          <w:tcPr>
            <w:tcW w:w="6570" w:type="dxa"/>
            <w:vAlign w:val="center"/>
          </w:tcPr>
          <w:p w14:paraId="0463A63E" w14:textId="77777777" w:rsidR="00D013F2" w:rsidRPr="009A683B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83B">
              <w:rPr>
                <w:rFonts w:ascii="Arial" w:hAnsi="Arial" w:cs="Arial"/>
                <w:b/>
                <w:sz w:val="24"/>
                <w:szCs w:val="24"/>
              </w:rPr>
              <w:t>Don’t regularly prescribe bed rest and inactivity following injury and/or illness unless there is scientific evidence that harm will result from activity</w:t>
            </w:r>
          </w:p>
        </w:tc>
        <w:tc>
          <w:tcPr>
            <w:tcW w:w="2070" w:type="dxa"/>
            <w:vAlign w:val="center"/>
          </w:tcPr>
          <w:p w14:paraId="7DED3F08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Medicine &amp; Rehabilitation</w:t>
            </w:r>
          </w:p>
        </w:tc>
        <w:tc>
          <w:tcPr>
            <w:tcW w:w="1890" w:type="dxa"/>
            <w:vAlign w:val="center"/>
          </w:tcPr>
          <w:p w14:paraId="1198240C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4ABA9DE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18A06465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C3839C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F58645A" w14:textId="77777777" w:rsidTr="00E6069E">
        <w:tc>
          <w:tcPr>
            <w:tcW w:w="6570" w:type="dxa"/>
            <w:vAlign w:val="center"/>
          </w:tcPr>
          <w:p w14:paraId="1B5A70E5" w14:textId="77777777" w:rsidR="00D013F2" w:rsidRPr="001513D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13D9">
              <w:rPr>
                <w:rFonts w:ascii="Arial" w:hAnsi="Arial" w:cs="Arial"/>
                <w:b/>
                <w:sz w:val="24"/>
                <w:szCs w:val="24"/>
              </w:rPr>
              <w:t>Don’t order prescription drugs for pain without considering functional improvement</w:t>
            </w:r>
          </w:p>
        </w:tc>
        <w:tc>
          <w:tcPr>
            <w:tcW w:w="2070" w:type="dxa"/>
            <w:vAlign w:val="center"/>
          </w:tcPr>
          <w:p w14:paraId="77A9D0B0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Medicine &amp; Rehabilitation</w:t>
            </w:r>
          </w:p>
        </w:tc>
        <w:tc>
          <w:tcPr>
            <w:tcW w:w="1890" w:type="dxa"/>
            <w:vAlign w:val="center"/>
          </w:tcPr>
          <w:p w14:paraId="48B7E56D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1E9593E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001186C7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3B6C3F4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2C58A53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3075B2B2" w14:textId="77777777" w:rsidTr="00E6069E">
        <w:tc>
          <w:tcPr>
            <w:tcW w:w="6570" w:type="dxa"/>
            <w:vAlign w:val="center"/>
          </w:tcPr>
          <w:p w14:paraId="6D0E8E22" w14:textId="77777777" w:rsidR="00D013F2" w:rsidRPr="0052316E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16E">
              <w:rPr>
                <w:rFonts w:ascii="Arial" w:hAnsi="Arial" w:cs="Arial"/>
                <w:b/>
                <w:sz w:val="24"/>
                <w:szCs w:val="24"/>
              </w:rPr>
              <w:t xml:space="preserve">Don’t recommend carpal tunnel release without </w:t>
            </w:r>
            <w:proofErr w:type="spellStart"/>
            <w:r w:rsidRPr="0052316E">
              <w:rPr>
                <w:rFonts w:ascii="Arial" w:hAnsi="Arial" w:cs="Arial"/>
                <w:b/>
                <w:sz w:val="24"/>
                <w:szCs w:val="24"/>
              </w:rPr>
              <w:t>electrodiagnostic</w:t>
            </w:r>
            <w:proofErr w:type="spellEnd"/>
            <w:r w:rsidRPr="0052316E">
              <w:rPr>
                <w:rFonts w:ascii="Arial" w:hAnsi="Arial" w:cs="Arial"/>
                <w:b/>
                <w:sz w:val="24"/>
                <w:szCs w:val="24"/>
              </w:rPr>
              <w:t xml:space="preserve"> studies to confirm the diagnosis and severity of nerve entrapment</w:t>
            </w:r>
          </w:p>
        </w:tc>
        <w:tc>
          <w:tcPr>
            <w:tcW w:w="2070" w:type="dxa"/>
            <w:vAlign w:val="center"/>
          </w:tcPr>
          <w:p w14:paraId="626FAC74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Medicine &amp; Rehabilitation</w:t>
            </w:r>
          </w:p>
        </w:tc>
        <w:tc>
          <w:tcPr>
            <w:tcW w:w="1890" w:type="dxa"/>
            <w:vAlign w:val="center"/>
          </w:tcPr>
          <w:p w14:paraId="7137D2F3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5A4BB4D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1BB23897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1F31B48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0E65C7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4EC8E5F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2E55275D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 not use SSRIs as the first-line intervention for mild to moderately depressed teens.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3D3E65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337688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3FB0BD6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  <w:p w14:paraId="7A5E2BF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CAB5D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0AF020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94BA7DD" w14:textId="77777777" w:rsidTr="00E6069E">
        <w:tc>
          <w:tcPr>
            <w:tcW w:w="6570" w:type="dxa"/>
            <w:vAlign w:val="center"/>
          </w:tcPr>
          <w:p w14:paraId="521E9A38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 not use </w:t>
            </w:r>
            <w:proofErr w:type="spell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psychostimulants</w:t>
            </w:r>
            <w:proofErr w:type="spellEnd"/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 as a first-line intervention in preschool children with ADHD.</w:t>
            </w:r>
          </w:p>
        </w:tc>
        <w:tc>
          <w:tcPr>
            <w:tcW w:w="2070" w:type="dxa"/>
            <w:vAlign w:val="center"/>
          </w:tcPr>
          <w:p w14:paraId="7B0F29A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1890" w:type="dxa"/>
            <w:vAlign w:val="center"/>
          </w:tcPr>
          <w:p w14:paraId="0FBE380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F77185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 w:rsidRPr="004F63E9"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66EE82B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71AC6D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14B9AEF" w14:textId="77777777" w:rsidTr="00E6069E">
        <w:tc>
          <w:tcPr>
            <w:tcW w:w="6570" w:type="dxa"/>
            <w:vAlign w:val="center"/>
          </w:tcPr>
          <w:p w14:paraId="367376C4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 not routinely use antipsychotics to treat primary insomnia in any age group.</w:t>
            </w:r>
          </w:p>
        </w:tc>
        <w:tc>
          <w:tcPr>
            <w:tcW w:w="2070" w:type="dxa"/>
            <w:vAlign w:val="center"/>
          </w:tcPr>
          <w:p w14:paraId="06A020D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1890" w:type="dxa"/>
            <w:vAlign w:val="center"/>
          </w:tcPr>
          <w:p w14:paraId="481961B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0C6F33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3B6C516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57AC10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0227D87" w14:textId="77777777" w:rsidTr="00E6069E">
        <w:tc>
          <w:tcPr>
            <w:tcW w:w="6570" w:type="dxa"/>
            <w:vAlign w:val="center"/>
          </w:tcPr>
          <w:p w14:paraId="1C838C8E" w14:textId="77777777" w:rsidR="00D013F2" w:rsidRPr="004F63E9" w:rsidRDefault="00D013F2" w:rsidP="00803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343E7">
              <w:rPr>
                <w:rFonts w:ascii="Arial" w:hAnsi="Arial" w:cs="Arial"/>
                <w:b/>
                <w:sz w:val="24"/>
                <w:szCs w:val="24"/>
              </w:rPr>
              <w:t>Don’t initiate long-term maintenance inhalers in stable patients with suspected COPD if they have not had confirmation of post-bronchodilator airfl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ow obstruction with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spirometry</w:t>
            </w:r>
            <w:proofErr w:type="spellEnd"/>
          </w:p>
        </w:tc>
        <w:tc>
          <w:tcPr>
            <w:tcW w:w="2070" w:type="dxa"/>
            <w:vAlign w:val="center"/>
          </w:tcPr>
          <w:p w14:paraId="7DB3F33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90" w:type="dxa"/>
            <w:vAlign w:val="center"/>
          </w:tcPr>
          <w:p w14:paraId="7B8721DB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A2ABF5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4FABB3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1ED856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5DE1B862" w14:textId="77777777" w:rsidTr="00E6069E">
        <w:tc>
          <w:tcPr>
            <w:tcW w:w="6570" w:type="dxa"/>
            <w:vAlign w:val="center"/>
          </w:tcPr>
          <w:p w14:paraId="56369316" w14:textId="77777777" w:rsidR="00D013F2" w:rsidRPr="004F63E9" w:rsidRDefault="00D013F2" w:rsidP="00803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F2F4C">
              <w:rPr>
                <w:rFonts w:ascii="Arial" w:hAnsi="Arial" w:cs="Arial"/>
                <w:b/>
                <w:sz w:val="24"/>
                <w:szCs w:val="24"/>
              </w:rPr>
              <w:t xml:space="preserve">Don’t perform CT screening for lung cancer among patients at low risk for lung cancer. </w:t>
            </w:r>
          </w:p>
        </w:tc>
        <w:tc>
          <w:tcPr>
            <w:tcW w:w="2070" w:type="dxa"/>
            <w:vAlign w:val="center"/>
          </w:tcPr>
          <w:p w14:paraId="06B5942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90" w:type="dxa"/>
            <w:vAlign w:val="center"/>
          </w:tcPr>
          <w:p w14:paraId="7F024C60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638EA6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Efficiency</w:t>
            </w:r>
          </w:p>
          <w:p w14:paraId="208517B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2CEB4DA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A0DC8E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3CEF9AAF" w14:textId="77777777" w:rsidTr="00E6069E">
        <w:tc>
          <w:tcPr>
            <w:tcW w:w="6570" w:type="dxa"/>
            <w:vAlign w:val="center"/>
          </w:tcPr>
          <w:p w14:paraId="376B7FB6" w14:textId="77777777" w:rsidR="00D013F2" w:rsidRPr="004F63E9" w:rsidRDefault="00D013F2" w:rsidP="00803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E48E3">
              <w:rPr>
                <w:rFonts w:ascii="Arial" w:hAnsi="Arial" w:cs="Arial"/>
                <w:b/>
                <w:sz w:val="24"/>
                <w:szCs w:val="24"/>
              </w:rPr>
              <w:t xml:space="preserve">Don’t treat adult cough with antibiotics even if it lasts more than 1 week, unless bacterial pneumonia is suspected (mean viral cough duration is 18 days). </w:t>
            </w:r>
          </w:p>
        </w:tc>
        <w:tc>
          <w:tcPr>
            <w:tcW w:w="2070" w:type="dxa"/>
            <w:vAlign w:val="center"/>
          </w:tcPr>
          <w:p w14:paraId="320F497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90" w:type="dxa"/>
            <w:vAlign w:val="center"/>
          </w:tcPr>
          <w:p w14:paraId="0F82976D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FF7FCBA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07A7340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483BCD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81342A7" w14:textId="77777777" w:rsidTr="00E6069E">
        <w:tc>
          <w:tcPr>
            <w:tcW w:w="6570" w:type="dxa"/>
            <w:vAlign w:val="center"/>
          </w:tcPr>
          <w:p w14:paraId="4F0DEF9C" w14:textId="77777777" w:rsidR="00D013F2" w:rsidRPr="004F63E9" w:rsidRDefault="00D013F2" w:rsidP="00803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F48D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Don’t initiate medications for asthma (e.g., inhalers, leukotriene receptor antagonists, or other) in patients ≥ 6 years old who have not had confirmation of reversible airflow limitation with </w:t>
            </w:r>
            <w:proofErr w:type="spellStart"/>
            <w:r w:rsidRPr="009F48D8">
              <w:rPr>
                <w:rFonts w:ascii="Arial" w:hAnsi="Arial" w:cs="Arial"/>
                <w:b/>
                <w:sz w:val="24"/>
                <w:szCs w:val="24"/>
              </w:rPr>
              <w:t>spirometry</w:t>
            </w:r>
            <w:proofErr w:type="spellEnd"/>
            <w:r w:rsidRPr="009F48D8">
              <w:rPr>
                <w:rFonts w:ascii="Arial" w:hAnsi="Arial" w:cs="Arial"/>
                <w:b/>
                <w:sz w:val="24"/>
                <w:szCs w:val="24"/>
              </w:rPr>
              <w:t xml:space="preserve">, and in its absence, a positive </w:t>
            </w:r>
            <w:proofErr w:type="spellStart"/>
            <w:r w:rsidRPr="009F48D8">
              <w:rPr>
                <w:rFonts w:ascii="Arial" w:hAnsi="Arial" w:cs="Arial"/>
                <w:b/>
                <w:sz w:val="24"/>
                <w:szCs w:val="24"/>
              </w:rPr>
              <w:t>methacholine</w:t>
            </w:r>
            <w:proofErr w:type="spellEnd"/>
            <w:r w:rsidRPr="009F48D8">
              <w:rPr>
                <w:rFonts w:ascii="Arial" w:hAnsi="Arial" w:cs="Arial"/>
                <w:b/>
                <w:sz w:val="24"/>
                <w:szCs w:val="24"/>
              </w:rPr>
              <w:t xml:space="preserve"> or exercise challenge test, or sufficient peak expiratory flow variability. </w:t>
            </w:r>
          </w:p>
        </w:tc>
        <w:tc>
          <w:tcPr>
            <w:tcW w:w="2070" w:type="dxa"/>
            <w:vAlign w:val="center"/>
          </w:tcPr>
          <w:p w14:paraId="64AE0AD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90" w:type="dxa"/>
            <w:vAlign w:val="center"/>
          </w:tcPr>
          <w:p w14:paraId="03E1B0EC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44CFBAB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185F8FD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51EC25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DAC9ACE" w14:textId="77777777" w:rsidTr="00E6069E">
        <w:tc>
          <w:tcPr>
            <w:tcW w:w="6570" w:type="dxa"/>
            <w:vAlign w:val="center"/>
          </w:tcPr>
          <w:p w14:paraId="05F0C47B" w14:textId="6DA65B9B" w:rsidR="00D013F2" w:rsidRPr="004F63E9" w:rsidRDefault="00D013F2" w:rsidP="00803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A750FC">
              <w:rPr>
                <w:rFonts w:ascii="Arial" w:hAnsi="Arial" w:cs="Arial"/>
                <w:b/>
                <w:sz w:val="24"/>
                <w:szCs w:val="24"/>
              </w:rPr>
              <w:t>Don’t use antibiotics for acute asthma exa</w:t>
            </w:r>
            <w:r w:rsidR="00D6693A">
              <w:rPr>
                <w:rFonts w:ascii="Arial" w:hAnsi="Arial" w:cs="Arial"/>
                <w:b/>
                <w:sz w:val="24"/>
                <w:szCs w:val="24"/>
              </w:rPr>
              <w:t xml:space="preserve">cerbations without clear signs </w:t>
            </w:r>
            <w:r w:rsidRPr="00A750FC">
              <w:rPr>
                <w:rFonts w:ascii="Arial" w:hAnsi="Arial" w:cs="Arial"/>
                <w:b/>
                <w:sz w:val="24"/>
                <w:szCs w:val="24"/>
              </w:rPr>
              <w:t xml:space="preserve">of bacterial infection. </w:t>
            </w:r>
          </w:p>
        </w:tc>
        <w:tc>
          <w:tcPr>
            <w:tcW w:w="2070" w:type="dxa"/>
            <w:vAlign w:val="center"/>
          </w:tcPr>
          <w:p w14:paraId="00AE64ED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90" w:type="dxa"/>
            <w:vAlign w:val="center"/>
          </w:tcPr>
          <w:p w14:paraId="3D627B17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</w:t>
            </w:r>
          </w:p>
          <w:p w14:paraId="0618F48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0669B5D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070AD14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6A8E948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01BB8FB4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Don’t order ANA as a screening test in patients without specific signs or symptoms of systemic lupus </w:t>
            </w:r>
            <w:proofErr w:type="spell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erythematosus</w:t>
            </w:r>
            <w:proofErr w:type="spellEnd"/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 (SLE) or another connective tissue disease (CTD).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384AF1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Rheumatology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43D5F11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17506F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199DC6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2CB7BF13" w14:textId="77777777" w:rsidTr="00E6069E">
        <w:tc>
          <w:tcPr>
            <w:tcW w:w="6570" w:type="dxa"/>
            <w:vAlign w:val="center"/>
          </w:tcPr>
          <w:p w14:paraId="390A39C9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Don’t order an HLA-B27 unless </w:t>
            </w:r>
            <w:proofErr w:type="spellStart"/>
            <w:r w:rsidRPr="004F63E9">
              <w:rPr>
                <w:rFonts w:ascii="Arial" w:hAnsi="Arial" w:cs="Arial"/>
                <w:b/>
                <w:sz w:val="24"/>
                <w:szCs w:val="24"/>
              </w:rPr>
              <w:t>spondyloarthritis</w:t>
            </w:r>
            <w:proofErr w:type="spellEnd"/>
            <w:r w:rsidRPr="004F63E9">
              <w:rPr>
                <w:rFonts w:ascii="Arial" w:hAnsi="Arial" w:cs="Arial"/>
                <w:b/>
                <w:sz w:val="24"/>
                <w:szCs w:val="24"/>
              </w:rPr>
              <w:t xml:space="preserve"> is suspected based on specific signs or symptoms.</w:t>
            </w:r>
          </w:p>
        </w:tc>
        <w:tc>
          <w:tcPr>
            <w:tcW w:w="2070" w:type="dxa"/>
            <w:vAlign w:val="center"/>
          </w:tcPr>
          <w:p w14:paraId="5857AA9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Rheumatology</w:t>
            </w:r>
          </w:p>
        </w:tc>
        <w:tc>
          <w:tcPr>
            <w:tcW w:w="1890" w:type="dxa"/>
            <w:vAlign w:val="center"/>
          </w:tcPr>
          <w:p w14:paraId="36372849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vAlign w:val="center"/>
          </w:tcPr>
          <w:p w14:paraId="7D11476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AEDB7FA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4E59F814" w14:textId="77777777" w:rsidTr="00E6069E">
        <w:tc>
          <w:tcPr>
            <w:tcW w:w="6570" w:type="dxa"/>
            <w:vAlign w:val="center"/>
          </w:tcPr>
          <w:p w14:paraId="2029F9CC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prescribe bisphosphonates for patients at low risk of fracture.</w:t>
            </w:r>
          </w:p>
        </w:tc>
        <w:tc>
          <w:tcPr>
            <w:tcW w:w="2070" w:type="dxa"/>
            <w:vAlign w:val="center"/>
          </w:tcPr>
          <w:p w14:paraId="0560BBF0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Rheumatology</w:t>
            </w:r>
          </w:p>
        </w:tc>
        <w:tc>
          <w:tcPr>
            <w:tcW w:w="1890" w:type="dxa"/>
            <w:vAlign w:val="center"/>
          </w:tcPr>
          <w:p w14:paraId="6B169BD5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D653CAE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0FD5B442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47101A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603B8AAE" w14:textId="77777777" w:rsidTr="00E6069E">
        <w:tc>
          <w:tcPr>
            <w:tcW w:w="6570" w:type="dxa"/>
            <w:vAlign w:val="center"/>
          </w:tcPr>
          <w:p w14:paraId="6C8EF3E0" w14:textId="77777777" w:rsidR="00D013F2" w:rsidRPr="00220D65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D65">
              <w:rPr>
                <w:rFonts w:ascii="Arial" w:hAnsi="Arial" w:cs="Arial"/>
                <w:b/>
                <w:sz w:val="24"/>
                <w:szCs w:val="24"/>
              </w:rPr>
              <w:t>Don’t order an MRI for suspected degenerative meniscal tears or osteoarthritis</w:t>
            </w:r>
          </w:p>
        </w:tc>
        <w:tc>
          <w:tcPr>
            <w:tcW w:w="2070" w:type="dxa"/>
            <w:vAlign w:val="center"/>
          </w:tcPr>
          <w:p w14:paraId="432EC5B2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&amp; Exercise Medicine</w:t>
            </w:r>
          </w:p>
        </w:tc>
        <w:tc>
          <w:tcPr>
            <w:tcW w:w="1890" w:type="dxa"/>
            <w:vAlign w:val="center"/>
          </w:tcPr>
          <w:p w14:paraId="7463181A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8A08081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Efficiency</w:t>
            </w:r>
          </w:p>
          <w:p w14:paraId="606E8D48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0C2EFABF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5620F8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15D2FDFE" w14:textId="77777777" w:rsidTr="00E6069E">
        <w:tc>
          <w:tcPr>
            <w:tcW w:w="6570" w:type="dxa"/>
            <w:vAlign w:val="center"/>
          </w:tcPr>
          <w:p w14:paraId="67442514" w14:textId="77777777" w:rsidR="00D013F2" w:rsidRPr="0081129E" w:rsidRDefault="00D013F2" w:rsidP="008038A7">
            <w:pPr>
              <w:tabs>
                <w:tab w:val="left" w:pos="5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1129E">
              <w:rPr>
                <w:rFonts w:ascii="Arial" w:hAnsi="Arial" w:cs="Arial"/>
                <w:b/>
                <w:sz w:val="24"/>
                <w:szCs w:val="24"/>
              </w:rPr>
              <w:t xml:space="preserve">Don’t prescribe opiates as first line treatment for </w:t>
            </w:r>
            <w:proofErr w:type="spellStart"/>
            <w:r w:rsidRPr="0081129E">
              <w:rPr>
                <w:rFonts w:ascii="Arial" w:hAnsi="Arial" w:cs="Arial"/>
                <w:b/>
                <w:sz w:val="24"/>
                <w:szCs w:val="24"/>
              </w:rPr>
              <w:t>tendinopathies</w:t>
            </w:r>
            <w:proofErr w:type="spellEnd"/>
          </w:p>
        </w:tc>
        <w:tc>
          <w:tcPr>
            <w:tcW w:w="2070" w:type="dxa"/>
            <w:vAlign w:val="center"/>
          </w:tcPr>
          <w:p w14:paraId="3C4F5CD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&amp; Exercise Medicine</w:t>
            </w:r>
          </w:p>
        </w:tc>
        <w:tc>
          <w:tcPr>
            <w:tcW w:w="1890" w:type="dxa"/>
            <w:vAlign w:val="center"/>
          </w:tcPr>
          <w:p w14:paraId="4BA95F2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980" w:type="dxa"/>
            <w:vAlign w:val="center"/>
          </w:tcPr>
          <w:p w14:paraId="3BB413BD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66618D3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0C3B2D77" w14:textId="77777777" w:rsidTr="00E6069E">
        <w:tc>
          <w:tcPr>
            <w:tcW w:w="6570" w:type="dxa"/>
            <w:vAlign w:val="center"/>
          </w:tcPr>
          <w:p w14:paraId="5A66BA9C" w14:textId="77777777" w:rsidR="00D013F2" w:rsidRPr="0081129E" w:rsidRDefault="00D013F2" w:rsidP="008038A7">
            <w:pPr>
              <w:tabs>
                <w:tab w:val="left" w:pos="5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1129E">
              <w:rPr>
                <w:rFonts w:ascii="Arial" w:hAnsi="Arial" w:cs="Arial"/>
                <w:b/>
                <w:sz w:val="24"/>
                <w:szCs w:val="24"/>
              </w:rPr>
              <w:t xml:space="preserve">Don’t order orthotics for asymptomatic children with </w:t>
            </w:r>
            <w:proofErr w:type="spellStart"/>
            <w:r w:rsidRPr="0081129E">
              <w:rPr>
                <w:rFonts w:ascii="Arial" w:hAnsi="Arial" w:cs="Arial"/>
                <w:b/>
                <w:sz w:val="24"/>
                <w:szCs w:val="24"/>
              </w:rPr>
              <w:t>pes</w:t>
            </w:r>
            <w:proofErr w:type="spellEnd"/>
            <w:r w:rsidRPr="008112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129E">
              <w:rPr>
                <w:rFonts w:ascii="Arial" w:hAnsi="Arial" w:cs="Arial"/>
                <w:b/>
                <w:sz w:val="24"/>
                <w:szCs w:val="24"/>
              </w:rPr>
              <w:t>planus</w:t>
            </w:r>
            <w:proofErr w:type="spellEnd"/>
            <w:r w:rsidRPr="0081129E">
              <w:rPr>
                <w:rFonts w:ascii="Arial" w:hAnsi="Arial" w:cs="Arial"/>
                <w:b/>
                <w:sz w:val="24"/>
                <w:szCs w:val="24"/>
              </w:rPr>
              <w:t xml:space="preserve"> (flat feet)</w:t>
            </w:r>
          </w:p>
        </w:tc>
        <w:tc>
          <w:tcPr>
            <w:tcW w:w="2070" w:type="dxa"/>
            <w:vAlign w:val="center"/>
          </w:tcPr>
          <w:p w14:paraId="3211DB7F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&amp; Exercise Medicine</w:t>
            </w:r>
          </w:p>
        </w:tc>
        <w:tc>
          <w:tcPr>
            <w:tcW w:w="1890" w:type="dxa"/>
            <w:vAlign w:val="center"/>
          </w:tcPr>
          <w:p w14:paraId="721E7565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58A90DD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7FE43AC9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1B01C50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3E1709CB" w14:textId="77777777" w:rsidTr="00E6069E">
        <w:tc>
          <w:tcPr>
            <w:tcW w:w="6570" w:type="dxa"/>
            <w:vAlign w:val="center"/>
          </w:tcPr>
          <w:p w14:paraId="554BE035" w14:textId="77777777" w:rsidR="00D013F2" w:rsidRPr="005B761A" w:rsidRDefault="00D013F2" w:rsidP="008038A7">
            <w:pPr>
              <w:tabs>
                <w:tab w:val="left" w:pos="5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761A">
              <w:rPr>
                <w:rFonts w:ascii="Arial" w:hAnsi="Arial" w:cs="Arial"/>
                <w:b/>
                <w:sz w:val="24"/>
                <w:szCs w:val="24"/>
              </w:rPr>
              <w:t xml:space="preserve">Don’t order an MRI as an initial investigation for suspected rotator cuff </w:t>
            </w:r>
            <w:proofErr w:type="spellStart"/>
            <w:r w:rsidRPr="005B761A">
              <w:rPr>
                <w:rFonts w:ascii="Arial" w:hAnsi="Arial" w:cs="Arial"/>
                <w:b/>
                <w:sz w:val="24"/>
                <w:szCs w:val="24"/>
              </w:rPr>
              <w:t>tendinopathy</w:t>
            </w:r>
            <w:proofErr w:type="spellEnd"/>
          </w:p>
        </w:tc>
        <w:tc>
          <w:tcPr>
            <w:tcW w:w="2070" w:type="dxa"/>
            <w:vAlign w:val="center"/>
          </w:tcPr>
          <w:p w14:paraId="5AE53103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&amp; Exercise Medicine</w:t>
            </w:r>
          </w:p>
        </w:tc>
        <w:tc>
          <w:tcPr>
            <w:tcW w:w="1890" w:type="dxa"/>
            <w:vAlign w:val="center"/>
          </w:tcPr>
          <w:p w14:paraId="25961F2D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B36C815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Efficiency</w:t>
            </w:r>
          </w:p>
          <w:p w14:paraId="4FA69316" w14:textId="77777777" w:rsidR="00D013F2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Centredness</w:t>
            </w:r>
            <w:proofErr w:type="spellEnd"/>
          </w:p>
        </w:tc>
        <w:tc>
          <w:tcPr>
            <w:tcW w:w="1980" w:type="dxa"/>
            <w:vAlign w:val="center"/>
          </w:tcPr>
          <w:p w14:paraId="44659B71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9091FD6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F2" w:rsidRPr="004F63E9" w14:paraId="708C18F5" w14:textId="77777777" w:rsidTr="00E6069E"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14DF7B4D" w14:textId="77777777" w:rsidR="00D013F2" w:rsidRPr="004F63E9" w:rsidRDefault="00D013F2" w:rsidP="008038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63E9">
              <w:rPr>
                <w:rFonts w:ascii="Arial" w:hAnsi="Arial" w:cs="Arial"/>
                <w:b/>
                <w:sz w:val="24"/>
                <w:szCs w:val="24"/>
              </w:rPr>
              <w:t>Don’t perform unnecessarily frequent ultrasound examinations in asymptomatic patients with small abdominal aortic aneurysms. Aneurysms smaller than 4.5cm in diameter should undergo ultrasound surveillance every 12 months.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C8A088C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Vascular Surgery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676B8F4" w14:textId="77777777" w:rsidR="00D013F2" w:rsidRPr="004F63E9" w:rsidRDefault="00D013F2" w:rsidP="00803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3E9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3A2372B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12B2DE3" w14:textId="77777777" w:rsidR="00D013F2" w:rsidRPr="004F63E9" w:rsidRDefault="00D013F2" w:rsidP="00803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8A6A8" w14:textId="77777777" w:rsidR="00AF2A0C" w:rsidRPr="00BF0EB0" w:rsidRDefault="00AF2A0C" w:rsidP="00AA3118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AF2A0C" w:rsidRPr="00BF0EB0" w:rsidSect="00E6069E">
      <w:footerReference w:type="default" r:id="rId11"/>
      <w:pgSz w:w="15840" w:h="12240" w:orient="landscape"/>
      <w:pgMar w:top="360" w:right="270" w:bottom="27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2506" w14:textId="77777777" w:rsidR="00560CCA" w:rsidRDefault="00560CCA" w:rsidP="00145DF0">
      <w:pPr>
        <w:spacing w:after="0" w:line="240" w:lineRule="auto"/>
      </w:pPr>
      <w:r>
        <w:separator/>
      </w:r>
    </w:p>
  </w:endnote>
  <w:endnote w:type="continuationSeparator" w:id="0">
    <w:p w14:paraId="3F15935E" w14:textId="77777777" w:rsidR="00560CCA" w:rsidRDefault="00560CCA" w:rsidP="001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A4FF" w14:textId="2723868F" w:rsidR="000714F8" w:rsidRDefault="001940FF" w:rsidP="00E6069E">
    <w:pPr>
      <w:pStyle w:val="Footer"/>
      <w:jc w:val="right"/>
    </w:pPr>
    <w:r>
      <w:t>Last Reviewed: 03/05/2018</w:t>
    </w:r>
    <w:r w:rsidR="000714F8">
      <w:t xml:space="preserve"> | Dr. Kimberly </w:t>
    </w:r>
    <w:proofErr w:type="spellStart"/>
    <w:r w:rsidR="000714F8">
      <w:t>Wintemute</w:t>
    </w:r>
    <w:proofErr w:type="spellEnd"/>
    <w:r w:rsidR="000714F8">
      <w:t xml:space="preserve"> MD CCFP FCFP | Primary Care Co-Lead, Choosing Wisely Canada</w:t>
    </w:r>
  </w:p>
  <w:p w14:paraId="34A2C90E" w14:textId="77777777" w:rsidR="000714F8" w:rsidRDefault="00071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A8A5C" w14:textId="77777777" w:rsidR="00560CCA" w:rsidRDefault="00560CCA" w:rsidP="00145DF0">
      <w:pPr>
        <w:spacing w:after="0" w:line="240" w:lineRule="auto"/>
      </w:pPr>
      <w:r>
        <w:separator/>
      </w:r>
    </w:p>
  </w:footnote>
  <w:footnote w:type="continuationSeparator" w:id="0">
    <w:p w14:paraId="2B561E45" w14:textId="77777777" w:rsidR="00560CCA" w:rsidRDefault="00560CCA" w:rsidP="0014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8D3B3C"/>
    <w:multiLevelType w:val="multilevel"/>
    <w:tmpl w:val="5BB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40049"/>
    <w:multiLevelType w:val="hybridMultilevel"/>
    <w:tmpl w:val="1110DC94"/>
    <w:lvl w:ilvl="0" w:tplc="BEA692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0088"/>
    <w:multiLevelType w:val="hybridMultilevel"/>
    <w:tmpl w:val="DFD81A10"/>
    <w:lvl w:ilvl="0" w:tplc="C5A00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457E3"/>
    <w:multiLevelType w:val="multilevel"/>
    <w:tmpl w:val="C9B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E165D"/>
    <w:multiLevelType w:val="hybridMultilevel"/>
    <w:tmpl w:val="59F80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2243"/>
    <w:multiLevelType w:val="hybridMultilevel"/>
    <w:tmpl w:val="FDC64D34"/>
    <w:lvl w:ilvl="0" w:tplc="A8B252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37"/>
    <w:rsid w:val="000263C6"/>
    <w:rsid w:val="00046953"/>
    <w:rsid w:val="000562CF"/>
    <w:rsid w:val="000714F8"/>
    <w:rsid w:val="00082E65"/>
    <w:rsid w:val="00090D8D"/>
    <w:rsid w:val="000917DE"/>
    <w:rsid w:val="000B1545"/>
    <w:rsid w:val="000B5DD6"/>
    <w:rsid w:val="000C548A"/>
    <w:rsid w:val="000C7D5F"/>
    <w:rsid w:val="000D7645"/>
    <w:rsid w:val="0012585E"/>
    <w:rsid w:val="00134630"/>
    <w:rsid w:val="00135BD0"/>
    <w:rsid w:val="00137D1E"/>
    <w:rsid w:val="00145DF0"/>
    <w:rsid w:val="00147E88"/>
    <w:rsid w:val="001513D9"/>
    <w:rsid w:val="00154362"/>
    <w:rsid w:val="00161291"/>
    <w:rsid w:val="00164613"/>
    <w:rsid w:val="001940FF"/>
    <w:rsid w:val="00194785"/>
    <w:rsid w:val="00197775"/>
    <w:rsid w:val="001A092A"/>
    <w:rsid w:val="001A136E"/>
    <w:rsid w:val="001C47C8"/>
    <w:rsid w:val="001C6B57"/>
    <w:rsid w:val="001E5AD4"/>
    <w:rsid w:val="001E6C37"/>
    <w:rsid w:val="001F1F98"/>
    <w:rsid w:val="001F60EF"/>
    <w:rsid w:val="00200CC1"/>
    <w:rsid w:val="00212052"/>
    <w:rsid w:val="00220D65"/>
    <w:rsid w:val="00230CA1"/>
    <w:rsid w:val="002400AA"/>
    <w:rsid w:val="002469AC"/>
    <w:rsid w:val="00251638"/>
    <w:rsid w:val="002548A7"/>
    <w:rsid w:val="00295BE6"/>
    <w:rsid w:val="002A28E2"/>
    <w:rsid w:val="002A3706"/>
    <w:rsid w:val="002A7227"/>
    <w:rsid w:val="002B4E42"/>
    <w:rsid w:val="002C463B"/>
    <w:rsid w:val="002D1822"/>
    <w:rsid w:val="002D3981"/>
    <w:rsid w:val="002D4057"/>
    <w:rsid w:val="002D4B2E"/>
    <w:rsid w:val="002D7EF8"/>
    <w:rsid w:val="002E3305"/>
    <w:rsid w:val="0031146F"/>
    <w:rsid w:val="00315EF4"/>
    <w:rsid w:val="00321308"/>
    <w:rsid w:val="00341841"/>
    <w:rsid w:val="00350004"/>
    <w:rsid w:val="003657F1"/>
    <w:rsid w:val="00372EE2"/>
    <w:rsid w:val="003B4311"/>
    <w:rsid w:val="003E6FAD"/>
    <w:rsid w:val="00417F86"/>
    <w:rsid w:val="004231D7"/>
    <w:rsid w:val="004231EC"/>
    <w:rsid w:val="0043220E"/>
    <w:rsid w:val="00436B21"/>
    <w:rsid w:val="00445DEE"/>
    <w:rsid w:val="00451C1D"/>
    <w:rsid w:val="00452A76"/>
    <w:rsid w:val="00474A5B"/>
    <w:rsid w:val="004D4D19"/>
    <w:rsid w:val="004D4F58"/>
    <w:rsid w:val="004D7675"/>
    <w:rsid w:val="004E2C47"/>
    <w:rsid w:val="004E5BAE"/>
    <w:rsid w:val="004F3D04"/>
    <w:rsid w:val="004F63E9"/>
    <w:rsid w:val="0051762E"/>
    <w:rsid w:val="0052316E"/>
    <w:rsid w:val="0053675B"/>
    <w:rsid w:val="00544E5C"/>
    <w:rsid w:val="00547740"/>
    <w:rsid w:val="0055132C"/>
    <w:rsid w:val="00560CCA"/>
    <w:rsid w:val="00561DE8"/>
    <w:rsid w:val="005637E3"/>
    <w:rsid w:val="00572C6F"/>
    <w:rsid w:val="0059431D"/>
    <w:rsid w:val="00594939"/>
    <w:rsid w:val="00595ACC"/>
    <w:rsid w:val="005B2E52"/>
    <w:rsid w:val="005B761A"/>
    <w:rsid w:val="005C714C"/>
    <w:rsid w:val="00600C35"/>
    <w:rsid w:val="006058D2"/>
    <w:rsid w:val="0063451F"/>
    <w:rsid w:val="00637493"/>
    <w:rsid w:val="00665002"/>
    <w:rsid w:val="0066552E"/>
    <w:rsid w:val="00665D76"/>
    <w:rsid w:val="00680E23"/>
    <w:rsid w:val="0068438E"/>
    <w:rsid w:val="00685D35"/>
    <w:rsid w:val="006A3B25"/>
    <w:rsid w:val="006C3E37"/>
    <w:rsid w:val="006D430B"/>
    <w:rsid w:val="006E3A7B"/>
    <w:rsid w:val="007064AC"/>
    <w:rsid w:val="007071A5"/>
    <w:rsid w:val="0071499F"/>
    <w:rsid w:val="00720429"/>
    <w:rsid w:val="00772950"/>
    <w:rsid w:val="007C0EAB"/>
    <w:rsid w:val="007D2C5A"/>
    <w:rsid w:val="008038A7"/>
    <w:rsid w:val="00804012"/>
    <w:rsid w:val="0081129E"/>
    <w:rsid w:val="00850025"/>
    <w:rsid w:val="00882727"/>
    <w:rsid w:val="00891562"/>
    <w:rsid w:val="008B71FD"/>
    <w:rsid w:val="008C0AD2"/>
    <w:rsid w:val="008D2525"/>
    <w:rsid w:val="00900FE9"/>
    <w:rsid w:val="00902A02"/>
    <w:rsid w:val="00902C49"/>
    <w:rsid w:val="0095322E"/>
    <w:rsid w:val="00963358"/>
    <w:rsid w:val="00964F89"/>
    <w:rsid w:val="009721F1"/>
    <w:rsid w:val="00987E56"/>
    <w:rsid w:val="009933BC"/>
    <w:rsid w:val="009A683B"/>
    <w:rsid w:val="009C50E3"/>
    <w:rsid w:val="009E7197"/>
    <w:rsid w:val="009F2642"/>
    <w:rsid w:val="009F2F4C"/>
    <w:rsid w:val="009F48D8"/>
    <w:rsid w:val="009F7145"/>
    <w:rsid w:val="00A063F9"/>
    <w:rsid w:val="00A06A2B"/>
    <w:rsid w:val="00A1785B"/>
    <w:rsid w:val="00A2230E"/>
    <w:rsid w:val="00A228D7"/>
    <w:rsid w:val="00A32AFE"/>
    <w:rsid w:val="00A449D6"/>
    <w:rsid w:val="00A52399"/>
    <w:rsid w:val="00A7408C"/>
    <w:rsid w:val="00A750FC"/>
    <w:rsid w:val="00A803EF"/>
    <w:rsid w:val="00A869E5"/>
    <w:rsid w:val="00A955D6"/>
    <w:rsid w:val="00AA3118"/>
    <w:rsid w:val="00AA55B8"/>
    <w:rsid w:val="00AD045A"/>
    <w:rsid w:val="00AD478B"/>
    <w:rsid w:val="00AE6EAE"/>
    <w:rsid w:val="00AF2A0C"/>
    <w:rsid w:val="00AF5694"/>
    <w:rsid w:val="00B26DB4"/>
    <w:rsid w:val="00B30EB6"/>
    <w:rsid w:val="00B3694C"/>
    <w:rsid w:val="00B65A26"/>
    <w:rsid w:val="00B65B2C"/>
    <w:rsid w:val="00B71052"/>
    <w:rsid w:val="00B97441"/>
    <w:rsid w:val="00BC25AE"/>
    <w:rsid w:val="00BD38DB"/>
    <w:rsid w:val="00BE3E64"/>
    <w:rsid w:val="00BE75F4"/>
    <w:rsid w:val="00BF0EB0"/>
    <w:rsid w:val="00BF2D7E"/>
    <w:rsid w:val="00C0063C"/>
    <w:rsid w:val="00C00F32"/>
    <w:rsid w:val="00C27431"/>
    <w:rsid w:val="00C343E7"/>
    <w:rsid w:val="00C6254E"/>
    <w:rsid w:val="00C86D41"/>
    <w:rsid w:val="00CA78F0"/>
    <w:rsid w:val="00CB5B9E"/>
    <w:rsid w:val="00CB689C"/>
    <w:rsid w:val="00CC2DE2"/>
    <w:rsid w:val="00D0013E"/>
    <w:rsid w:val="00D013F2"/>
    <w:rsid w:val="00D0282A"/>
    <w:rsid w:val="00D16959"/>
    <w:rsid w:val="00D27AFA"/>
    <w:rsid w:val="00D34848"/>
    <w:rsid w:val="00D4607C"/>
    <w:rsid w:val="00D505B7"/>
    <w:rsid w:val="00D56830"/>
    <w:rsid w:val="00D57C3A"/>
    <w:rsid w:val="00D644A2"/>
    <w:rsid w:val="00D6693A"/>
    <w:rsid w:val="00D84054"/>
    <w:rsid w:val="00D8786F"/>
    <w:rsid w:val="00DA5CDC"/>
    <w:rsid w:val="00DB2F67"/>
    <w:rsid w:val="00DD02F8"/>
    <w:rsid w:val="00DD11ED"/>
    <w:rsid w:val="00DD1C66"/>
    <w:rsid w:val="00DD2DCF"/>
    <w:rsid w:val="00DF42C4"/>
    <w:rsid w:val="00E34EF1"/>
    <w:rsid w:val="00E4021A"/>
    <w:rsid w:val="00E424E8"/>
    <w:rsid w:val="00E552BF"/>
    <w:rsid w:val="00E6069E"/>
    <w:rsid w:val="00E66C0D"/>
    <w:rsid w:val="00E718A0"/>
    <w:rsid w:val="00E753EE"/>
    <w:rsid w:val="00E918DF"/>
    <w:rsid w:val="00E962E9"/>
    <w:rsid w:val="00EC7139"/>
    <w:rsid w:val="00EE48E3"/>
    <w:rsid w:val="00EF4E8C"/>
    <w:rsid w:val="00EF67F5"/>
    <w:rsid w:val="00F10B69"/>
    <w:rsid w:val="00F12B64"/>
    <w:rsid w:val="00F21214"/>
    <w:rsid w:val="00F316C8"/>
    <w:rsid w:val="00F36AF7"/>
    <w:rsid w:val="00F675ED"/>
    <w:rsid w:val="00F95FC8"/>
    <w:rsid w:val="00FA0055"/>
    <w:rsid w:val="00FC407F"/>
    <w:rsid w:val="00FC5473"/>
    <w:rsid w:val="00FE3296"/>
    <w:rsid w:val="00FE62B5"/>
    <w:rsid w:val="00FE63E9"/>
    <w:rsid w:val="00FE711E"/>
    <w:rsid w:val="00FE74C6"/>
    <w:rsid w:val="00FF54B1"/>
    <w:rsid w:val="00FF6EC8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D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F0"/>
  </w:style>
  <w:style w:type="paragraph" w:styleId="Footer">
    <w:name w:val="footer"/>
    <w:basedOn w:val="Normal"/>
    <w:link w:val="Foot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F0"/>
  </w:style>
  <w:style w:type="paragraph" w:styleId="BalloonText">
    <w:name w:val="Balloon Text"/>
    <w:basedOn w:val="Normal"/>
    <w:link w:val="BalloonTextChar"/>
    <w:uiPriority w:val="99"/>
    <w:semiHidden/>
    <w:unhideWhenUsed/>
    <w:rsid w:val="0014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F0"/>
  </w:style>
  <w:style w:type="paragraph" w:styleId="Footer">
    <w:name w:val="footer"/>
    <w:basedOn w:val="Normal"/>
    <w:link w:val="Foot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F0"/>
  </w:style>
  <w:style w:type="paragraph" w:styleId="BalloonText">
    <w:name w:val="Balloon Text"/>
    <w:basedOn w:val="Normal"/>
    <w:link w:val="BalloonTextChar"/>
    <w:uiPriority w:val="99"/>
    <w:semiHidden/>
    <w:unhideWhenUsed/>
    <w:rsid w:val="0014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EDA4-495C-45B8-867F-5C685ADF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Thompson</dc:creator>
  <cp:lastModifiedBy>Hayley Thompson</cp:lastModifiedBy>
  <cp:revision>3</cp:revision>
  <cp:lastPrinted>2017-06-23T14:47:00Z</cp:lastPrinted>
  <dcterms:created xsi:type="dcterms:W3CDTF">2018-05-03T16:16:00Z</dcterms:created>
  <dcterms:modified xsi:type="dcterms:W3CDTF">2018-05-09T19:05:00Z</dcterms:modified>
</cp:coreProperties>
</file>