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CC80" w14:textId="74770ADE" w:rsidR="00DD11ED" w:rsidRDefault="00D013F2" w:rsidP="0095322E">
      <w:pPr>
        <w:jc w:val="center"/>
        <w:rPr>
          <w:rFonts w:ascii="Arial" w:hAnsi="Arial" w:cs="Arial"/>
          <w:b/>
          <w:sz w:val="28"/>
          <w:szCs w:val="28"/>
        </w:rPr>
      </w:pPr>
      <w:r w:rsidRPr="00DD11E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B6E57D" wp14:editId="221C5760">
            <wp:simplePos x="0" y="0"/>
            <wp:positionH relativeFrom="column">
              <wp:posOffset>7577455</wp:posOffset>
            </wp:positionH>
            <wp:positionV relativeFrom="paragraph">
              <wp:posOffset>175895</wp:posOffset>
            </wp:positionV>
            <wp:extent cx="1134110" cy="643890"/>
            <wp:effectExtent l="0" t="0" r="8890" b="3810"/>
            <wp:wrapTight wrapText="bothSides">
              <wp:wrapPolygon edited="0">
                <wp:start x="15964" y="0"/>
                <wp:lineTo x="0" y="5751"/>
                <wp:lineTo x="0" y="10864"/>
                <wp:lineTo x="1814" y="20450"/>
                <wp:lineTo x="2177" y="21089"/>
                <wp:lineTo x="14876" y="21089"/>
                <wp:lineTo x="14876" y="20450"/>
                <wp:lineTo x="21406" y="12781"/>
                <wp:lineTo x="21406" y="1917"/>
                <wp:lineTo x="20318" y="0"/>
                <wp:lineTo x="159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EN_7472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04" w:rsidRPr="00DD11E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26CB3C" wp14:editId="15E8CAAE">
            <wp:simplePos x="0" y="0"/>
            <wp:positionH relativeFrom="column">
              <wp:posOffset>6101715</wp:posOffset>
            </wp:positionH>
            <wp:positionV relativeFrom="paragraph">
              <wp:posOffset>170815</wp:posOffset>
            </wp:positionV>
            <wp:extent cx="1160145" cy="499745"/>
            <wp:effectExtent l="0" t="0" r="1905" b="0"/>
            <wp:wrapTight wrapText="bothSides">
              <wp:wrapPolygon edited="0">
                <wp:start x="15961" y="0"/>
                <wp:lineTo x="5320" y="6587"/>
                <wp:lineTo x="2483" y="9057"/>
                <wp:lineTo x="2483" y="13174"/>
                <wp:lineTo x="0" y="16468"/>
                <wp:lineTo x="0" y="20584"/>
                <wp:lineTo x="14897" y="20584"/>
                <wp:lineTo x="21281" y="16468"/>
                <wp:lineTo x="21281" y="2470"/>
                <wp:lineTo x="20217" y="0"/>
                <wp:lineTo x="159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FR_7472_P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1BF5" w14:textId="77777777" w:rsidR="00DD11ED" w:rsidRDefault="00DD11ED" w:rsidP="00082E65">
      <w:pPr>
        <w:ind w:right="630"/>
        <w:rPr>
          <w:rFonts w:ascii="Arial" w:hAnsi="Arial" w:cs="Arial"/>
          <w:b/>
          <w:sz w:val="28"/>
          <w:szCs w:val="28"/>
        </w:rPr>
      </w:pPr>
    </w:p>
    <w:p w14:paraId="599BA78F" w14:textId="77777777" w:rsidR="00EC7139" w:rsidRDefault="00EC7139" w:rsidP="00082E65">
      <w:pPr>
        <w:ind w:right="630"/>
        <w:rPr>
          <w:rFonts w:ascii="Arial" w:hAnsi="Arial" w:cs="Arial"/>
          <w:b/>
          <w:sz w:val="28"/>
          <w:szCs w:val="28"/>
        </w:rPr>
      </w:pPr>
    </w:p>
    <w:p w14:paraId="628C3BA7" w14:textId="7B704BF9" w:rsidR="00D4607C" w:rsidRDefault="00FE3296" w:rsidP="00082E65">
      <w:pPr>
        <w:ind w:right="630"/>
        <w:rPr>
          <w:rFonts w:ascii="Arial" w:hAnsi="Arial" w:cs="Arial"/>
          <w:b/>
          <w:sz w:val="28"/>
          <w:szCs w:val="32"/>
        </w:rPr>
      </w:pPr>
      <w:r w:rsidRPr="005C714C">
        <w:rPr>
          <w:rFonts w:ascii="Arial" w:hAnsi="Arial" w:cs="Arial"/>
          <w:b/>
          <w:sz w:val="28"/>
          <w:szCs w:val="32"/>
        </w:rPr>
        <w:t>Choosing Wisely Canada</w:t>
      </w:r>
      <w:r w:rsidR="006C3E37" w:rsidRPr="005C714C">
        <w:rPr>
          <w:rFonts w:ascii="Arial" w:hAnsi="Arial" w:cs="Arial"/>
          <w:b/>
          <w:sz w:val="28"/>
          <w:szCs w:val="32"/>
        </w:rPr>
        <w:t xml:space="preserve"> Recommendations that Apply to Primary Care</w:t>
      </w:r>
    </w:p>
    <w:p w14:paraId="13A079EF" w14:textId="67973214" w:rsidR="00F26275" w:rsidRPr="005C714C" w:rsidRDefault="007B5EF1" w:rsidP="00082E65">
      <w:pPr>
        <w:ind w:right="63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Version for QI</w:t>
      </w:r>
      <w:r w:rsidR="00823DD8">
        <w:rPr>
          <w:rFonts w:ascii="Arial" w:hAnsi="Arial" w:cs="Arial"/>
          <w:b/>
          <w:sz w:val="28"/>
          <w:szCs w:val="32"/>
        </w:rPr>
        <w:t xml:space="preserve"> CPD, focusing on measurability</w:t>
      </w:r>
    </w:p>
    <w:p w14:paraId="65E2AA7B" w14:textId="3857F588" w:rsidR="00FA0055" w:rsidRPr="005C714C" w:rsidRDefault="00341841" w:rsidP="005C714C">
      <w:pPr>
        <w:spacing w:after="0"/>
        <w:ind w:right="629"/>
        <w:rPr>
          <w:rFonts w:ascii="Arial" w:hAnsi="Arial" w:cs="Arial"/>
          <w:sz w:val="28"/>
          <w:szCs w:val="32"/>
        </w:rPr>
      </w:pPr>
      <w:r w:rsidRPr="005C714C">
        <w:rPr>
          <w:rFonts w:ascii="Arial" w:hAnsi="Arial" w:cs="Arial"/>
          <w:sz w:val="28"/>
          <w:szCs w:val="32"/>
        </w:rPr>
        <w:t xml:space="preserve">Stratified by Quality Improvement </w:t>
      </w:r>
      <w:r w:rsidR="00E552BF" w:rsidRPr="005C714C">
        <w:rPr>
          <w:rFonts w:ascii="Arial" w:hAnsi="Arial" w:cs="Arial"/>
          <w:sz w:val="28"/>
          <w:szCs w:val="32"/>
        </w:rPr>
        <w:t xml:space="preserve">(QI) </w:t>
      </w:r>
      <w:r w:rsidR="001F1F98" w:rsidRPr="005C714C">
        <w:rPr>
          <w:rFonts w:ascii="Arial" w:hAnsi="Arial" w:cs="Arial"/>
          <w:sz w:val="28"/>
          <w:szCs w:val="32"/>
        </w:rPr>
        <w:t>Pillar</w:t>
      </w:r>
    </w:p>
    <w:p w14:paraId="4377F5C9" w14:textId="135E5330" w:rsidR="00EC7139" w:rsidRPr="005C714C" w:rsidRDefault="00402E82" w:rsidP="005C714C">
      <w:pPr>
        <w:spacing w:after="0"/>
        <w:ind w:right="629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May 7</w:t>
      </w:r>
      <w:r w:rsidR="003179B7">
        <w:rPr>
          <w:rFonts w:ascii="Arial" w:hAnsi="Arial" w:cs="Arial"/>
          <w:sz w:val="28"/>
          <w:szCs w:val="32"/>
        </w:rPr>
        <w:t>, 2018</w:t>
      </w:r>
    </w:p>
    <w:p w14:paraId="6B570CD7" w14:textId="77777777" w:rsidR="005C714C" w:rsidRDefault="005C714C" w:rsidP="00082E65">
      <w:pPr>
        <w:ind w:right="630"/>
        <w:rPr>
          <w:rFonts w:ascii="Arial" w:hAnsi="Arial" w:cs="Arial"/>
          <w:i/>
          <w:sz w:val="24"/>
          <w:szCs w:val="28"/>
        </w:rPr>
      </w:pPr>
    </w:p>
    <w:p w14:paraId="110B34EF" w14:textId="317BEB77" w:rsidR="000C548A" w:rsidRPr="005C714C" w:rsidRDefault="002D76FB" w:rsidP="00082E65">
      <w:pPr>
        <w:ind w:right="630"/>
        <w:rPr>
          <w:sz w:val="28"/>
          <w:szCs w:val="32"/>
        </w:rPr>
      </w:pPr>
      <w:r>
        <w:rPr>
          <w:sz w:val="28"/>
          <w:szCs w:val="32"/>
          <w:u w:val="single"/>
        </w:rPr>
        <w:t>Suggestions for clini</w:t>
      </w:r>
      <w:r w:rsidR="00251638" w:rsidRPr="005C714C">
        <w:rPr>
          <w:sz w:val="28"/>
          <w:szCs w:val="32"/>
          <w:u w:val="single"/>
        </w:rPr>
        <w:t>cians</w:t>
      </w:r>
      <w:r w:rsidR="000C548A" w:rsidRPr="005C714C">
        <w:rPr>
          <w:sz w:val="28"/>
          <w:szCs w:val="32"/>
          <w:u w:val="single"/>
        </w:rPr>
        <w:t xml:space="preserve"> using this list</w:t>
      </w:r>
      <w:r w:rsidR="000C548A" w:rsidRPr="005C714C">
        <w:rPr>
          <w:sz w:val="28"/>
          <w:szCs w:val="32"/>
        </w:rPr>
        <w:t>:</w:t>
      </w:r>
    </w:p>
    <w:p w14:paraId="75FA8213" w14:textId="0ED29203" w:rsidR="000C548A" w:rsidRPr="005C714C" w:rsidRDefault="000C548A" w:rsidP="00082E65">
      <w:pPr>
        <w:pStyle w:val="ListParagraph"/>
        <w:numPr>
          <w:ilvl w:val="0"/>
          <w:numId w:val="2"/>
        </w:numPr>
        <w:ind w:right="630"/>
        <w:rPr>
          <w:sz w:val="28"/>
          <w:szCs w:val="32"/>
        </w:rPr>
      </w:pPr>
      <w:r w:rsidRPr="005C714C">
        <w:rPr>
          <w:sz w:val="28"/>
          <w:szCs w:val="32"/>
        </w:rPr>
        <w:t xml:space="preserve">Review recommendations to </w:t>
      </w:r>
      <w:r w:rsidR="00FC407F" w:rsidRPr="005C714C">
        <w:rPr>
          <w:sz w:val="28"/>
          <w:szCs w:val="32"/>
        </w:rPr>
        <w:t>identify those that have relevance</w:t>
      </w:r>
      <w:r w:rsidRPr="005C714C">
        <w:rPr>
          <w:sz w:val="28"/>
          <w:szCs w:val="32"/>
        </w:rPr>
        <w:t xml:space="preserve"> for your community</w:t>
      </w:r>
      <w:r w:rsidR="00F21214" w:rsidRPr="005C714C">
        <w:rPr>
          <w:sz w:val="28"/>
          <w:szCs w:val="32"/>
        </w:rPr>
        <w:t>, team</w:t>
      </w:r>
      <w:r w:rsidRPr="005C714C">
        <w:rPr>
          <w:sz w:val="28"/>
          <w:szCs w:val="32"/>
        </w:rPr>
        <w:t xml:space="preserve"> or practice (Yes or No column).</w:t>
      </w:r>
      <w:r w:rsidR="002D76FB">
        <w:rPr>
          <w:sz w:val="28"/>
          <w:szCs w:val="32"/>
        </w:rPr>
        <w:t xml:space="preserve"> Is there interest or energy around the topic?</w:t>
      </w:r>
    </w:p>
    <w:p w14:paraId="265CF729" w14:textId="7F9B9C14" w:rsidR="000C548A" w:rsidRPr="005C714C" w:rsidRDefault="002D76FB" w:rsidP="00082E65">
      <w:pPr>
        <w:pStyle w:val="ListParagraph"/>
        <w:numPr>
          <w:ilvl w:val="0"/>
          <w:numId w:val="2"/>
        </w:numPr>
        <w:ind w:right="630"/>
        <w:rPr>
          <w:sz w:val="28"/>
          <w:szCs w:val="32"/>
        </w:rPr>
      </w:pPr>
      <w:r>
        <w:rPr>
          <w:sz w:val="28"/>
          <w:szCs w:val="32"/>
        </w:rPr>
        <w:t>Then consider</w:t>
      </w:r>
      <w:r w:rsidR="000C548A" w:rsidRPr="005C714C">
        <w:rPr>
          <w:sz w:val="28"/>
          <w:szCs w:val="32"/>
        </w:rPr>
        <w:t xml:space="preserve"> the “Yes” recommendations for ease of </w:t>
      </w:r>
      <w:r>
        <w:rPr>
          <w:sz w:val="28"/>
          <w:szCs w:val="32"/>
        </w:rPr>
        <w:t xml:space="preserve">implementation and measurement. Where </w:t>
      </w:r>
      <w:r w:rsidR="004E5BAE" w:rsidRPr="005C714C">
        <w:rPr>
          <w:sz w:val="28"/>
          <w:szCs w:val="32"/>
        </w:rPr>
        <w:t xml:space="preserve">will </w:t>
      </w:r>
      <w:r w:rsidR="00967151">
        <w:rPr>
          <w:sz w:val="28"/>
          <w:szCs w:val="32"/>
        </w:rPr>
        <w:t>you get</w:t>
      </w:r>
      <w:r>
        <w:rPr>
          <w:sz w:val="28"/>
          <w:szCs w:val="32"/>
        </w:rPr>
        <w:t xml:space="preserve"> </w:t>
      </w:r>
      <w:r w:rsidRPr="00967151">
        <w:rPr>
          <w:sz w:val="28"/>
          <w:szCs w:val="32"/>
          <w:u w:val="single"/>
        </w:rPr>
        <w:t>data</w:t>
      </w:r>
      <w:r>
        <w:rPr>
          <w:sz w:val="28"/>
          <w:szCs w:val="32"/>
        </w:rPr>
        <w:t xml:space="preserve"> – from the EMR? From your c</w:t>
      </w:r>
      <w:r w:rsidR="004E5BAE" w:rsidRPr="005C714C">
        <w:rPr>
          <w:sz w:val="28"/>
          <w:szCs w:val="32"/>
        </w:rPr>
        <w:t>ommunity or hospital lab? H</w:t>
      </w:r>
      <w:r w:rsidR="00FC407F" w:rsidRPr="005C714C">
        <w:rPr>
          <w:sz w:val="28"/>
          <w:szCs w:val="32"/>
        </w:rPr>
        <w:t>ospital or other database?</w:t>
      </w:r>
      <w:r w:rsidR="00341841" w:rsidRPr="005C714C">
        <w:rPr>
          <w:sz w:val="28"/>
          <w:szCs w:val="32"/>
        </w:rPr>
        <w:t xml:space="preserve"> Manual tabulations done in your office?</w:t>
      </w:r>
      <w:r w:rsidR="00FC407F" w:rsidRPr="005C714C">
        <w:rPr>
          <w:sz w:val="28"/>
          <w:szCs w:val="32"/>
        </w:rPr>
        <w:t xml:space="preserve"> I</w:t>
      </w:r>
      <w:r w:rsidR="000C548A" w:rsidRPr="005C714C">
        <w:rPr>
          <w:sz w:val="28"/>
          <w:szCs w:val="32"/>
        </w:rPr>
        <w:t xml:space="preserve">ndicate </w:t>
      </w:r>
      <w:r w:rsidR="00FC407F" w:rsidRPr="005C714C">
        <w:rPr>
          <w:sz w:val="28"/>
          <w:szCs w:val="32"/>
        </w:rPr>
        <w:t xml:space="preserve">in this column </w:t>
      </w:r>
      <w:r w:rsidR="000C548A" w:rsidRPr="005C714C">
        <w:rPr>
          <w:sz w:val="28"/>
          <w:szCs w:val="32"/>
        </w:rPr>
        <w:t xml:space="preserve">if </w:t>
      </w:r>
      <w:r w:rsidR="00FC407F" w:rsidRPr="005C714C">
        <w:rPr>
          <w:sz w:val="28"/>
          <w:szCs w:val="32"/>
        </w:rPr>
        <w:t xml:space="preserve">the project is </w:t>
      </w:r>
      <w:r w:rsidR="00FE711E" w:rsidRPr="005C714C">
        <w:rPr>
          <w:sz w:val="28"/>
          <w:szCs w:val="32"/>
        </w:rPr>
        <w:t>“do-able”</w:t>
      </w:r>
      <w:r>
        <w:rPr>
          <w:sz w:val="28"/>
          <w:szCs w:val="32"/>
        </w:rPr>
        <w:t xml:space="preserve"> from that standpoint</w:t>
      </w:r>
      <w:r w:rsidR="00FE711E" w:rsidRPr="005C714C">
        <w:rPr>
          <w:sz w:val="28"/>
          <w:szCs w:val="32"/>
        </w:rPr>
        <w:t xml:space="preserve"> – Yes or No.</w:t>
      </w:r>
    </w:p>
    <w:p w14:paraId="114A345B" w14:textId="6BB4608C" w:rsidR="00547740" w:rsidRPr="005C714C" w:rsidRDefault="00147E88" w:rsidP="00082E65">
      <w:pPr>
        <w:pStyle w:val="ListParagraph"/>
        <w:numPr>
          <w:ilvl w:val="0"/>
          <w:numId w:val="2"/>
        </w:numPr>
        <w:ind w:right="630"/>
        <w:rPr>
          <w:sz w:val="28"/>
          <w:szCs w:val="32"/>
        </w:rPr>
      </w:pPr>
      <w:r w:rsidRPr="005C714C">
        <w:rPr>
          <w:sz w:val="28"/>
          <w:szCs w:val="32"/>
        </w:rPr>
        <w:t>Recommendations that have two “Yes” responses are potential QI projects.</w:t>
      </w:r>
      <w:r w:rsidR="000C548A" w:rsidRPr="005C714C">
        <w:rPr>
          <w:sz w:val="28"/>
          <w:szCs w:val="32"/>
        </w:rPr>
        <w:t xml:space="preserve"> </w:t>
      </w:r>
    </w:p>
    <w:p w14:paraId="562CBA85" w14:textId="09E6F381" w:rsidR="001E6C37" w:rsidRPr="000714F8" w:rsidRDefault="001E6C37" w:rsidP="00082E65">
      <w:pPr>
        <w:ind w:right="630"/>
        <w:rPr>
          <w:sz w:val="24"/>
          <w:szCs w:val="24"/>
        </w:rPr>
      </w:pPr>
      <w:r w:rsidRPr="000714F8">
        <w:rPr>
          <w:sz w:val="24"/>
          <w:szCs w:val="24"/>
          <w:u w:val="single"/>
        </w:rPr>
        <w:t>Note</w:t>
      </w:r>
      <w:r w:rsidRPr="000714F8">
        <w:rPr>
          <w:sz w:val="24"/>
          <w:szCs w:val="24"/>
        </w:rPr>
        <w:t>:</w:t>
      </w:r>
    </w:p>
    <w:p w14:paraId="60467442" w14:textId="6FB4E84C" w:rsidR="001E6C37" w:rsidRDefault="001E6C37" w:rsidP="00082E65">
      <w:pPr>
        <w:ind w:right="630"/>
        <w:rPr>
          <w:sz w:val="24"/>
          <w:szCs w:val="24"/>
        </w:rPr>
      </w:pPr>
      <w:r w:rsidRPr="000714F8">
        <w:rPr>
          <w:sz w:val="24"/>
          <w:szCs w:val="24"/>
        </w:rPr>
        <w:t>Patient Safety and Effectiveness are the relevant QI pi</w:t>
      </w:r>
      <w:r w:rsidR="00964F89" w:rsidRPr="000714F8">
        <w:rPr>
          <w:sz w:val="24"/>
          <w:szCs w:val="24"/>
        </w:rPr>
        <w:t xml:space="preserve">llars for most </w:t>
      </w:r>
      <w:r w:rsidR="00AC01C1">
        <w:rPr>
          <w:sz w:val="24"/>
          <w:szCs w:val="24"/>
        </w:rPr>
        <w:t xml:space="preserve">Choosing Wisely </w:t>
      </w:r>
      <w:r w:rsidR="00964F89" w:rsidRPr="000714F8">
        <w:rPr>
          <w:sz w:val="24"/>
          <w:szCs w:val="24"/>
        </w:rPr>
        <w:t xml:space="preserve">recommendations. However, </w:t>
      </w:r>
      <w:r w:rsidRPr="000714F8">
        <w:rPr>
          <w:sz w:val="24"/>
          <w:szCs w:val="24"/>
        </w:rPr>
        <w:t>the point can be made that the pillars of Timeliness</w:t>
      </w:r>
      <w:r w:rsidR="000714F8">
        <w:rPr>
          <w:sz w:val="24"/>
          <w:szCs w:val="24"/>
        </w:rPr>
        <w:t xml:space="preserve"> (Access)</w:t>
      </w:r>
      <w:r w:rsidRPr="000714F8">
        <w:rPr>
          <w:sz w:val="24"/>
          <w:szCs w:val="24"/>
        </w:rPr>
        <w:t xml:space="preserve"> and Efficiency are important in all </w:t>
      </w:r>
      <w:r w:rsidR="00964F89" w:rsidRPr="000714F8">
        <w:rPr>
          <w:sz w:val="24"/>
          <w:szCs w:val="24"/>
        </w:rPr>
        <w:t>potential situations</w:t>
      </w:r>
      <w:r w:rsidRPr="000714F8">
        <w:rPr>
          <w:sz w:val="24"/>
          <w:szCs w:val="24"/>
        </w:rPr>
        <w:t xml:space="preserve"> that entail c</w:t>
      </w:r>
      <w:r w:rsidR="004D4D19">
        <w:rPr>
          <w:sz w:val="24"/>
          <w:szCs w:val="24"/>
        </w:rPr>
        <w:t>linicians spending</w:t>
      </w:r>
      <w:r w:rsidRPr="000714F8">
        <w:rPr>
          <w:sz w:val="24"/>
          <w:szCs w:val="24"/>
        </w:rPr>
        <w:t xml:space="preserve"> time</w:t>
      </w:r>
      <w:r w:rsidR="00964F89" w:rsidRPr="000714F8">
        <w:rPr>
          <w:sz w:val="24"/>
          <w:szCs w:val="24"/>
        </w:rPr>
        <w:t xml:space="preserve"> in ways </w:t>
      </w:r>
      <w:r w:rsidRPr="000714F8">
        <w:rPr>
          <w:sz w:val="24"/>
          <w:szCs w:val="24"/>
        </w:rPr>
        <w:t>that do not add value to patient care.</w:t>
      </w:r>
      <w:r w:rsidR="000714F8">
        <w:rPr>
          <w:sz w:val="24"/>
          <w:szCs w:val="24"/>
        </w:rPr>
        <w:t xml:space="preserve"> Unnecessary clinical activity has two negative consequences: it increases wait times for patients who genuinely require access to the system; and it occupies clinicians, taking them away from activities that have true impact. </w:t>
      </w:r>
    </w:p>
    <w:p w14:paraId="6E8402D8" w14:textId="77777777" w:rsidR="00EB3953" w:rsidRPr="000714F8" w:rsidRDefault="00EB3953" w:rsidP="00082E65">
      <w:pPr>
        <w:ind w:right="63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4233"/>
        <w:gridCol w:w="2180"/>
        <w:gridCol w:w="1695"/>
        <w:gridCol w:w="1452"/>
        <w:gridCol w:w="2979"/>
        <w:gridCol w:w="1594"/>
      </w:tblGrid>
      <w:tr w:rsidR="00003008" w:rsidRPr="002A7227" w14:paraId="7A6CA945" w14:textId="1D096A48" w:rsidTr="00913FB1">
        <w:trPr>
          <w:cantSplit/>
          <w:trHeight w:hRule="exact" w:val="1120"/>
          <w:tblHeader/>
        </w:trPr>
        <w:tc>
          <w:tcPr>
            <w:tcW w:w="0" w:type="auto"/>
            <w:shd w:val="clear" w:color="auto" w:fill="000000" w:themeFill="text1"/>
          </w:tcPr>
          <w:p w14:paraId="3E92226D" w14:textId="77777777" w:rsidR="00003008" w:rsidRPr="002A7227" w:rsidRDefault="00003008" w:rsidP="003B1CE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946F595" w14:textId="195720CD" w:rsidR="00003008" w:rsidRPr="002A7227" w:rsidRDefault="00003008" w:rsidP="003B1CE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Choosing Wisely Canada Recommendation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24843CC" w14:textId="77777777" w:rsidR="00003008" w:rsidRPr="002A7227" w:rsidRDefault="00003008" w:rsidP="003B1CE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Society List(s)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EAD8332" w14:textId="77777777" w:rsidR="00003008" w:rsidRPr="002A7227" w:rsidRDefault="00003008" w:rsidP="003B1CE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QI Pillar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718EFECF" w14:textId="77777777" w:rsidR="00003008" w:rsidRPr="002A7227" w:rsidRDefault="00003008" w:rsidP="003B1CE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Relevant for us?</w:t>
            </w:r>
          </w:p>
          <w:p w14:paraId="15D24FC0" w14:textId="77777777" w:rsidR="00003008" w:rsidRPr="002A7227" w:rsidRDefault="00003008" w:rsidP="003B1CE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Yes/No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04A38AA" w14:textId="0B60D532" w:rsidR="00003008" w:rsidRPr="002A7227" w:rsidRDefault="00003008" w:rsidP="003B1CE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Possible ways of Measuring</w:t>
            </w:r>
          </w:p>
        </w:tc>
        <w:tc>
          <w:tcPr>
            <w:tcW w:w="0" w:type="auto"/>
            <w:shd w:val="clear" w:color="auto" w:fill="000000" w:themeFill="text1"/>
          </w:tcPr>
          <w:p w14:paraId="4E2A8ECD" w14:textId="77777777" w:rsidR="00003008" w:rsidRDefault="00003008" w:rsidP="00F04B0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Can we Measure?</w:t>
            </w:r>
          </w:p>
          <w:p w14:paraId="0D3EFED0" w14:textId="51B53832" w:rsidR="00003008" w:rsidRDefault="00003008" w:rsidP="003B1CE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Yes/No</w:t>
            </w:r>
          </w:p>
        </w:tc>
      </w:tr>
      <w:tr w:rsidR="00003008" w:rsidRPr="004F63E9" w14:paraId="76345339" w14:textId="44C21CF2" w:rsidTr="00913FB1">
        <w:trPr>
          <w:cantSplit/>
        </w:trPr>
        <w:tc>
          <w:tcPr>
            <w:tcW w:w="0" w:type="auto"/>
          </w:tcPr>
          <w:p w14:paraId="2D236CDE" w14:textId="67441A09" w:rsidR="00003008" w:rsidRPr="009F2642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32BBA42" w14:textId="073F9428" w:rsidR="00003008" w:rsidRPr="009F2642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2642">
              <w:rPr>
                <w:rFonts w:ascii="Arial" w:hAnsi="Arial" w:cs="Arial"/>
                <w:b/>
                <w:sz w:val="24"/>
                <w:szCs w:val="24"/>
              </w:rPr>
              <w:t>Don’t use antibiotics in adults and children with uncomplicated sore throats</w:t>
            </w:r>
          </w:p>
        </w:tc>
        <w:tc>
          <w:tcPr>
            <w:tcW w:w="0" w:type="auto"/>
            <w:vAlign w:val="center"/>
          </w:tcPr>
          <w:p w14:paraId="3F9531B2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</w:tc>
        <w:tc>
          <w:tcPr>
            <w:tcW w:w="0" w:type="auto"/>
            <w:vAlign w:val="center"/>
          </w:tcPr>
          <w:p w14:paraId="59A04A96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55A53ED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25529978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02964C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Search bills for dx 460 and Rx antibiotic posted; </w:t>
            </w:r>
          </w:p>
          <w:p w14:paraId="5677CCD5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stipulate age range</w:t>
            </w:r>
          </w:p>
          <w:p w14:paraId="6CD6597F" w14:textId="7D4C972E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5DD5045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008" w:rsidRPr="004F63E9" w14:paraId="02ABC0D6" w14:textId="765D5788" w:rsidTr="00913FB1">
        <w:trPr>
          <w:cantSplit/>
        </w:trPr>
        <w:tc>
          <w:tcPr>
            <w:tcW w:w="0" w:type="auto"/>
          </w:tcPr>
          <w:p w14:paraId="7CBB37C8" w14:textId="3AA7B478" w:rsidR="00003008" w:rsidRPr="00B26DB4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06995BC" w14:textId="43144C2D" w:rsidR="00003008" w:rsidRPr="00B26DB4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DB4">
              <w:rPr>
                <w:rFonts w:ascii="Arial" w:hAnsi="Arial" w:cs="Arial"/>
                <w:b/>
                <w:sz w:val="24"/>
                <w:szCs w:val="24"/>
              </w:rPr>
              <w:t>Don’t use antibiotics in adults and children with uncomplicated acute otitis media</w:t>
            </w:r>
          </w:p>
        </w:tc>
        <w:tc>
          <w:tcPr>
            <w:tcW w:w="0" w:type="auto"/>
            <w:vAlign w:val="center"/>
          </w:tcPr>
          <w:p w14:paraId="7DA23A04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</w:tc>
        <w:tc>
          <w:tcPr>
            <w:tcW w:w="0" w:type="auto"/>
            <w:vAlign w:val="center"/>
          </w:tcPr>
          <w:p w14:paraId="53989ACC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0775ACE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1DE34A62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1C47B4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Search bills for dx 382 and antibiotic Rx given; </w:t>
            </w:r>
          </w:p>
          <w:p w14:paraId="4CF9F539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stipulate age range</w:t>
            </w:r>
          </w:p>
          <w:p w14:paraId="33A95843" w14:textId="41F7B216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5F3EEE5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008" w:rsidRPr="004F63E9" w14:paraId="718298B4" w14:textId="2A20B603" w:rsidTr="00913FB1">
        <w:trPr>
          <w:cantSplit/>
          <w:trHeight w:val="782"/>
        </w:trPr>
        <w:tc>
          <w:tcPr>
            <w:tcW w:w="0" w:type="auto"/>
          </w:tcPr>
          <w:p w14:paraId="075BD178" w14:textId="4EC33A55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AA28979" w14:textId="3557E0E7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routinely order a thyroid ultrasound in patients with abnormal thyroid function tests unless there is a palpable abnormality of the thyroid gland.</w:t>
            </w:r>
          </w:p>
        </w:tc>
        <w:tc>
          <w:tcPr>
            <w:tcW w:w="0" w:type="auto"/>
            <w:vAlign w:val="center"/>
          </w:tcPr>
          <w:p w14:paraId="0880CCF0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Endocrinology and Metabolism</w:t>
            </w:r>
          </w:p>
        </w:tc>
        <w:tc>
          <w:tcPr>
            <w:tcW w:w="0" w:type="auto"/>
            <w:vAlign w:val="center"/>
          </w:tcPr>
          <w:p w14:paraId="5042CED4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E058B56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0" w:type="auto"/>
            <w:vAlign w:val="center"/>
          </w:tcPr>
          <w:p w14:paraId="25BF206F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4C1306" w14:textId="244C296A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for all thyroid U/S; then chart audit for indication</w:t>
            </w:r>
          </w:p>
        </w:tc>
        <w:tc>
          <w:tcPr>
            <w:tcW w:w="0" w:type="auto"/>
          </w:tcPr>
          <w:p w14:paraId="43F35D71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008" w:rsidRPr="004F63E9" w14:paraId="07A45357" w14:textId="6A549569" w:rsidTr="00913FB1">
        <w:trPr>
          <w:cantSplit/>
        </w:trPr>
        <w:tc>
          <w:tcPr>
            <w:tcW w:w="0" w:type="auto"/>
          </w:tcPr>
          <w:p w14:paraId="7FDE6F60" w14:textId="32A1A772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07337A0" w14:textId="687F8A02" w:rsidR="00003008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use Free T4 or T3 to screen for hypothyroidism or to monitor and adjust levothyroxine (T4) dose in patients with known primary hypothyroidism.</w:t>
            </w:r>
          </w:p>
          <w:p w14:paraId="3A293531" w14:textId="77777777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EA5FC2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Endocrinology </w:t>
            </w:r>
            <w:r w:rsidRPr="004F63E9">
              <w:rPr>
                <w:rFonts w:ascii="Arial" w:hAnsi="Arial" w:cs="Arial"/>
                <w:sz w:val="24"/>
                <w:szCs w:val="24"/>
              </w:rPr>
              <w:t>and Metabolism</w:t>
            </w:r>
          </w:p>
        </w:tc>
        <w:tc>
          <w:tcPr>
            <w:tcW w:w="0" w:type="auto"/>
            <w:vAlign w:val="center"/>
          </w:tcPr>
          <w:p w14:paraId="0F686FD8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76732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F5EA5B5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07E19A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9E365D" w14:textId="62B76419" w:rsidR="00003008" w:rsidRDefault="00003008" w:rsidP="006B3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lab results for TSH, T3, T4 results appearing on same date; OR request data per clinician from lab</w:t>
            </w:r>
          </w:p>
          <w:p w14:paraId="6F29DBB3" w14:textId="77777777" w:rsidR="00003008" w:rsidRDefault="00003008" w:rsidP="006B30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6AA6A" w14:textId="31B7C0E5" w:rsidR="00003008" w:rsidRPr="004F63E9" w:rsidRDefault="00003008" w:rsidP="006B3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0" w:history="1">
              <w:r w:rsidR="00AB260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Understand the Gland </w:t>
              </w:r>
              <w:r w:rsidRPr="00D07755">
                <w:rPr>
                  <w:rStyle w:val="Hyperlink"/>
                  <w:rFonts w:ascii="Arial" w:hAnsi="Arial" w:cs="Arial"/>
                  <w:sz w:val="24"/>
                  <w:szCs w:val="24"/>
                </w:rPr>
                <w:t>Toolkit</w:t>
              </w:r>
            </w:hyperlink>
          </w:p>
        </w:tc>
        <w:tc>
          <w:tcPr>
            <w:tcW w:w="0" w:type="auto"/>
          </w:tcPr>
          <w:p w14:paraId="49F4C36C" w14:textId="77777777" w:rsidR="00003008" w:rsidRDefault="00003008" w:rsidP="006B3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008" w:rsidRPr="004F63E9" w14:paraId="46728D09" w14:textId="4DF9DDC0" w:rsidTr="00913FB1">
        <w:trPr>
          <w:cantSplit/>
        </w:trPr>
        <w:tc>
          <w:tcPr>
            <w:tcW w:w="0" w:type="auto"/>
          </w:tcPr>
          <w:p w14:paraId="7297D715" w14:textId="7EA18EB6" w:rsidR="00003008" w:rsidRPr="00161291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DC647D8" w14:textId="1363B15C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1291">
              <w:rPr>
                <w:rFonts w:ascii="Arial" w:hAnsi="Arial" w:cs="Arial"/>
                <w:b/>
                <w:sz w:val="24"/>
                <w:szCs w:val="24"/>
              </w:rPr>
              <w:t>Don’t do imaging for lower-back pain unless red flags are present</w:t>
            </w:r>
          </w:p>
        </w:tc>
        <w:tc>
          <w:tcPr>
            <w:tcW w:w="0" w:type="auto"/>
            <w:vAlign w:val="center"/>
          </w:tcPr>
          <w:p w14:paraId="1ABF1272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  <w:p w14:paraId="2F336540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  <w:p w14:paraId="61C006D0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Medicine</w:t>
            </w:r>
          </w:p>
          <w:p w14:paraId="1ED24D1B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Radiology</w:t>
            </w:r>
          </w:p>
          <w:p w14:paraId="04E4BBBC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Spine Society</w:t>
            </w:r>
          </w:p>
          <w:p w14:paraId="5602D43E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Medicine &amp; Rehabilitation</w:t>
            </w:r>
          </w:p>
        </w:tc>
        <w:tc>
          <w:tcPr>
            <w:tcW w:w="0" w:type="auto"/>
            <w:vAlign w:val="center"/>
          </w:tcPr>
          <w:p w14:paraId="45952A29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</w:t>
            </w:r>
          </w:p>
          <w:p w14:paraId="067F465B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BBAD445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296E3249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0" w:type="auto"/>
            <w:vAlign w:val="center"/>
          </w:tcPr>
          <w:p w14:paraId="038BDE7C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E2E4DC" w14:textId="2BB80398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for administrative (billing) data to be searched in your region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ICES data available by FHO in Ontario). Request 847 dx code billed, followed by imaging bill within a time frame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 weeks)</w:t>
            </w:r>
          </w:p>
        </w:tc>
        <w:tc>
          <w:tcPr>
            <w:tcW w:w="0" w:type="auto"/>
          </w:tcPr>
          <w:p w14:paraId="05BCEE96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008" w:rsidRPr="004F63E9" w14:paraId="5CCA0AC7" w14:textId="3C19B02F" w:rsidTr="00913FB1">
        <w:trPr>
          <w:cantSplit/>
        </w:trPr>
        <w:tc>
          <w:tcPr>
            <w:tcW w:w="0" w:type="auto"/>
          </w:tcPr>
          <w:p w14:paraId="5013AD5E" w14:textId="16ECD534" w:rsidR="00003008" w:rsidRPr="00EF4E8C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33996631" w14:textId="46233777" w:rsidR="00003008" w:rsidRPr="00EF4E8C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E8C">
              <w:rPr>
                <w:rFonts w:ascii="Arial" w:hAnsi="Arial" w:cs="Arial"/>
                <w:b/>
                <w:sz w:val="24"/>
                <w:szCs w:val="24"/>
              </w:rPr>
              <w:t>Don’t use antibiotics for upper respiratory infections that are likely viral in origin, such as influenza-like illness, or self-limiting, such as sinus infections of less than seven days of duration</w:t>
            </w:r>
          </w:p>
        </w:tc>
        <w:tc>
          <w:tcPr>
            <w:tcW w:w="0" w:type="auto"/>
            <w:vAlign w:val="center"/>
          </w:tcPr>
          <w:p w14:paraId="1EF22A10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0" w:type="auto"/>
            <w:vAlign w:val="center"/>
          </w:tcPr>
          <w:p w14:paraId="4B446D7F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1B297822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0" w:type="auto"/>
            <w:vAlign w:val="center"/>
          </w:tcPr>
          <w:p w14:paraId="20F25F69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2F552" w14:textId="5C9C6032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bills for dx 460, 466 or 461 and antibiotic Rx posted</w:t>
            </w:r>
          </w:p>
        </w:tc>
        <w:tc>
          <w:tcPr>
            <w:tcW w:w="0" w:type="auto"/>
          </w:tcPr>
          <w:p w14:paraId="4088BDB0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008" w:rsidRPr="004F63E9" w14:paraId="743BE14E" w14:textId="58E1CEC5" w:rsidTr="00913FB1">
        <w:trPr>
          <w:cantSplit/>
        </w:trPr>
        <w:tc>
          <w:tcPr>
            <w:tcW w:w="0" w:type="auto"/>
          </w:tcPr>
          <w:p w14:paraId="6B5C9232" w14:textId="16BBF3C0" w:rsidR="00003008" w:rsidRPr="0059431D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8F58C52" w14:textId="1DEEC086" w:rsidR="00003008" w:rsidRPr="0059431D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31D">
              <w:rPr>
                <w:rFonts w:ascii="Arial" w:hAnsi="Arial" w:cs="Arial"/>
                <w:b/>
                <w:sz w:val="24"/>
                <w:szCs w:val="24"/>
              </w:rPr>
              <w:t>Don’t do annual screening blood tests unless directly indicated by the risk profile of the patient</w:t>
            </w:r>
          </w:p>
        </w:tc>
        <w:tc>
          <w:tcPr>
            <w:tcW w:w="0" w:type="auto"/>
            <w:vAlign w:val="center"/>
          </w:tcPr>
          <w:p w14:paraId="0F150EB1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0" w:type="auto"/>
            <w:vAlign w:val="center"/>
          </w:tcPr>
          <w:p w14:paraId="35E15B2B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0" w:type="auto"/>
            <w:vAlign w:val="center"/>
          </w:tcPr>
          <w:p w14:paraId="2173434F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E9FA80" w14:textId="076950A4" w:rsidR="00003008" w:rsidRPr="004F63E9" w:rsidRDefault="00003008" w:rsidP="00103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bills for Preventive Care visit with either concurrent bill for blood work or blood results appearing in a time frame</w:t>
            </w:r>
          </w:p>
        </w:tc>
        <w:tc>
          <w:tcPr>
            <w:tcW w:w="0" w:type="auto"/>
          </w:tcPr>
          <w:p w14:paraId="69C6407E" w14:textId="77777777" w:rsidR="00003008" w:rsidRDefault="00003008" w:rsidP="00103E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008" w:rsidRPr="004F63E9" w14:paraId="723ED3C2" w14:textId="75A5154F" w:rsidTr="00913FB1">
        <w:trPr>
          <w:cantSplit/>
        </w:trPr>
        <w:tc>
          <w:tcPr>
            <w:tcW w:w="0" w:type="auto"/>
          </w:tcPr>
          <w:p w14:paraId="08B469A2" w14:textId="4382C7A5" w:rsidR="00003008" w:rsidRPr="00135BD0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DFBB87E" w14:textId="596166DF" w:rsidR="00003008" w:rsidRPr="00135BD0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BD0">
              <w:rPr>
                <w:rFonts w:ascii="Arial" w:hAnsi="Arial" w:cs="Arial"/>
                <w:b/>
                <w:sz w:val="24"/>
                <w:szCs w:val="24"/>
              </w:rPr>
              <w:t>Don’t routinely do screening mammography for average risk women aged 40 – 49. Individual assessment of each woman’s preferences and risk should guide the discussion and decision regarding mammography screening in this age group</w:t>
            </w:r>
          </w:p>
        </w:tc>
        <w:tc>
          <w:tcPr>
            <w:tcW w:w="0" w:type="auto"/>
            <w:vAlign w:val="center"/>
          </w:tcPr>
          <w:p w14:paraId="4CE18E4B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0" w:type="auto"/>
            <w:vAlign w:val="center"/>
          </w:tcPr>
          <w:p w14:paraId="041CBFE5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5DFA7634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6C9583B4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3EEA6FED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D4A15A" w14:textId="40F78542" w:rsidR="00003008" w:rsidRPr="004F63E9" w:rsidRDefault="00003008" w:rsidP="008C3D18">
            <w:pPr>
              <w:rPr>
                <w:rFonts w:ascii="Arial" w:hAnsi="Arial" w:cs="Arial"/>
                <w:sz w:val="24"/>
                <w:szCs w:val="24"/>
              </w:rPr>
            </w:pPr>
            <w:r w:rsidRPr="00543478">
              <w:rPr>
                <w:rFonts w:ascii="Arial" w:hAnsi="Arial" w:cs="Arial"/>
                <w:sz w:val="24"/>
                <w:szCs w:val="24"/>
              </w:rPr>
              <w:t>Search mammogram result in women &lt; 50; audit charts for record of shared decision-making</w:t>
            </w:r>
          </w:p>
        </w:tc>
        <w:tc>
          <w:tcPr>
            <w:tcW w:w="0" w:type="auto"/>
          </w:tcPr>
          <w:p w14:paraId="592F7B59" w14:textId="77777777" w:rsidR="00003008" w:rsidRPr="00F40678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17A15715" w14:textId="0D9BE4B8" w:rsidTr="00913FB1">
        <w:trPr>
          <w:cantSplit/>
        </w:trPr>
        <w:tc>
          <w:tcPr>
            <w:tcW w:w="0" w:type="auto"/>
          </w:tcPr>
          <w:p w14:paraId="52D84ACC" w14:textId="0B31D5F1" w:rsidR="00003008" w:rsidRPr="00AE6EAE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C70EF6B" w14:textId="0C451F8E" w:rsidR="00003008" w:rsidRPr="00AE6EAE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EAE">
              <w:rPr>
                <w:rFonts w:ascii="Arial" w:hAnsi="Arial" w:cs="Arial"/>
                <w:b/>
                <w:sz w:val="24"/>
                <w:szCs w:val="24"/>
              </w:rPr>
              <w:t>Don’t order thyroid function tests in asymptomatic patients</w:t>
            </w:r>
          </w:p>
        </w:tc>
        <w:tc>
          <w:tcPr>
            <w:tcW w:w="0" w:type="auto"/>
            <w:vAlign w:val="center"/>
          </w:tcPr>
          <w:p w14:paraId="539DA53A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0" w:type="auto"/>
            <w:vAlign w:val="center"/>
          </w:tcPr>
          <w:p w14:paraId="61D8753D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481696D4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0" w:type="auto"/>
            <w:vAlign w:val="center"/>
          </w:tcPr>
          <w:p w14:paraId="25A50B8C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80B64D" w14:textId="333A25CC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F267B">
              <w:rPr>
                <w:rFonts w:ascii="Arial" w:hAnsi="Arial" w:cs="Arial"/>
                <w:sz w:val="24"/>
                <w:szCs w:val="24"/>
              </w:rPr>
              <w:t xml:space="preserve">earch </w:t>
            </w:r>
            <w:r>
              <w:rPr>
                <w:rFonts w:ascii="Arial" w:hAnsi="Arial" w:cs="Arial"/>
                <w:sz w:val="24"/>
                <w:szCs w:val="24"/>
              </w:rPr>
              <w:t>labs for &gt;=2 TSH results in</w:t>
            </w:r>
            <w:r w:rsidRPr="00FF267B">
              <w:rPr>
                <w:rFonts w:ascii="Arial" w:hAnsi="Arial" w:cs="Arial"/>
                <w:sz w:val="24"/>
                <w:szCs w:val="24"/>
              </w:rPr>
              <w:t xml:space="preserve"> past two years in charts where CPP has no dx 244, 242, or 714, and where 650 has not been billed in past 2 years</w:t>
            </w:r>
          </w:p>
          <w:p w14:paraId="43DEA88D" w14:textId="77777777" w:rsidR="00003008" w:rsidRPr="00C2667D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9155B1D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 w:rsidRPr="00AB260E">
              <w:rPr>
                <w:rFonts w:ascii="Arial" w:hAnsi="Arial" w:cs="Arial"/>
                <w:sz w:val="24"/>
                <w:szCs w:val="24"/>
              </w:rPr>
              <w:t xml:space="preserve">This search has been developed and run through CPCSSN; can be </w:t>
            </w:r>
            <w:proofErr w:type="gramStart"/>
            <w:r w:rsidRPr="00AB260E">
              <w:rPr>
                <w:rFonts w:ascii="Arial" w:hAnsi="Arial" w:cs="Arial"/>
                <w:sz w:val="24"/>
                <w:szCs w:val="24"/>
              </w:rPr>
              <w:t>requested</w:t>
            </w:r>
            <w:proofErr w:type="gramEnd"/>
          </w:p>
          <w:p w14:paraId="1A68FE27" w14:textId="77777777" w:rsidR="00AB260E" w:rsidRPr="00AB260E" w:rsidRDefault="00AB260E" w:rsidP="00AB2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180E3" w14:textId="77777777" w:rsidR="00AB260E" w:rsidRPr="00AB260E" w:rsidRDefault="00AB260E" w:rsidP="00AB2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72EEB" w14:textId="77777777" w:rsidR="00AB260E" w:rsidRDefault="00AB260E" w:rsidP="00AB2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0E6A4" w14:textId="77777777" w:rsidR="00AB260E" w:rsidRDefault="00AB260E" w:rsidP="00AB26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8CD1B" w14:textId="794FE1A8" w:rsidR="00AB260E" w:rsidRPr="00AB260E" w:rsidRDefault="00AB260E" w:rsidP="00AB2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0A22316" w14:textId="77777777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008" w:rsidRPr="004F63E9" w14:paraId="6235D1A9" w14:textId="5728DE54" w:rsidTr="00913FB1">
        <w:trPr>
          <w:cantSplit/>
        </w:trPr>
        <w:tc>
          <w:tcPr>
            <w:tcW w:w="0" w:type="auto"/>
          </w:tcPr>
          <w:p w14:paraId="602168D9" w14:textId="11E93F97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14:paraId="2396850A" w14:textId="4EBA6780" w:rsidR="00003008" w:rsidRPr="00AE6EAE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maintain long term Proton Pump Inhibitor (PPI) therapy for gastrointestinal symptoms without an attempt to stop/reduce PPI at least once per year in most patients.</w:t>
            </w:r>
          </w:p>
        </w:tc>
        <w:tc>
          <w:tcPr>
            <w:tcW w:w="0" w:type="auto"/>
            <w:vAlign w:val="center"/>
          </w:tcPr>
          <w:p w14:paraId="607AA440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Gastroenterology</w:t>
            </w:r>
          </w:p>
        </w:tc>
        <w:tc>
          <w:tcPr>
            <w:tcW w:w="0" w:type="auto"/>
            <w:vAlign w:val="center"/>
          </w:tcPr>
          <w:p w14:paraId="5BFC205D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27265F3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29BE1723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88E0E0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 w:rsidRPr="00A74F92">
              <w:rPr>
                <w:rFonts w:ascii="Arial" w:hAnsi="Arial" w:cs="Arial"/>
                <w:sz w:val="24"/>
                <w:szCs w:val="24"/>
              </w:rPr>
              <w:t>Search CPP for Rx for PPI &gt; a duration</w:t>
            </w:r>
          </w:p>
          <w:p w14:paraId="5C27D447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A56EE" w14:textId="1BB79316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1" w:history="1">
              <w:r w:rsidRPr="00FF12B3">
                <w:rPr>
                  <w:rStyle w:val="Hyperlink"/>
                  <w:rFonts w:ascii="Arial" w:hAnsi="Arial" w:cs="Arial"/>
                  <w:sz w:val="24"/>
                  <w:szCs w:val="24"/>
                </w:rPr>
                <w:t>Bye-bye PPI Toolkit</w:t>
              </w:r>
            </w:hyperlink>
          </w:p>
        </w:tc>
        <w:tc>
          <w:tcPr>
            <w:tcW w:w="0" w:type="auto"/>
          </w:tcPr>
          <w:p w14:paraId="55E62677" w14:textId="77777777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51F99CC7" w14:textId="795E76EC" w:rsidTr="00913FB1">
        <w:trPr>
          <w:cantSplit/>
        </w:trPr>
        <w:tc>
          <w:tcPr>
            <w:tcW w:w="0" w:type="auto"/>
          </w:tcPr>
          <w:p w14:paraId="74A66E7D" w14:textId="3C3950CF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519B6F64" w14:textId="7CC03461" w:rsidR="00003008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use benzodiazepines or other sedative-hypnotics in older adults as first choice for insomnia, agitation or delirium.</w:t>
            </w:r>
          </w:p>
          <w:p w14:paraId="5DCC5C02" w14:textId="77777777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F2A1B5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Geriatrics</w:t>
            </w:r>
          </w:p>
          <w:p w14:paraId="0E323C3A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Hospital Medicine</w:t>
            </w:r>
          </w:p>
          <w:p w14:paraId="383D3BA3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Psychiatry</w:t>
            </w:r>
          </w:p>
        </w:tc>
        <w:tc>
          <w:tcPr>
            <w:tcW w:w="0" w:type="auto"/>
            <w:vAlign w:val="center"/>
          </w:tcPr>
          <w:p w14:paraId="2025A965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FE03E9D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38CEEC58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0" w:type="auto"/>
            <w:vAlign w:val="center"/>
          </w:tcPr>
          <w:p w14:paraId="754DC79A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4FEE45" w14:textId="502295E1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Search CPP for Rx </w:t>
            </w:r>
            <w:r w:rsidRPr="00A74F92">
              <w:rPr>
                <w:rFonts w:ascii="Arial" w:hAnsi="Arial" w:cs="Arial"/>
                <w:sz w:val="24"/>
                <w:szCs w:val="24"/>
              </w:rPr>
              <w:t>sed</w:t>
            </w:r>
            <w:r>
              <w:rPr>
                <w:rFonts w:ascii="Arial" w:hAnsi="Arial" w:cs="Arial"/>
                <w:sz w:val="24"/>
                <w:szCs w:val="24"/>
              </w:rPr>
              <w:t>ative</w:t>
            </w:r>
            <w:r w:rsidRPr="00A74F92">
              <w:rPr>
                <w:rFonts w:ascii="Arial" w:hAnsi="Arial" w:cs="Arial"/>
                <w:sz w:val="24"/>
                <w:szCs w:val="24"/>
              </w:rPr>
              <w:t>-hypnotic for &gt; a duration, restrict to age &gt;= 65</w:t>
            </w:r>
          </w:p>
          <w:p w14:paraId="5174C613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F64C4" w14:textId="480325B3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2" w:history="1">
              <w:r w:rsidRPr="00694879">
                <w:rPr>
                  <w:rStyle w:val="Hyperlink"/>
                  <w:rFonts w:ascii="Arial" w:hAnsi="Arial" w:cs="Arial"/>
                  <w:sz w:val="24"/>
                  <w:szCs w:val="24"/>
                </w:rPr>
                <w:t>Feeling Drowsy Without Feeling Lousy Toolkit</w:t>
              </w:r>
            </w:hyperlink>
          </w:p>
        </w:tc>
        <w:tc>
          <w:tcPr>
            <w:tcW w:w="0" w:type="auto"/>
          </w:tcPr>
          <w:p w14:paraId="380537D1" w14:textId="77777777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59DF8F52" w14:textId="3B3B1EF9" w:rsidTr="00913FB1">
        <w:trPr>
          <w:cantSplit/>
        </w:trPr>
        <w:tc>
          <w:tcPr>
            <w:tcW w:w="0" w:type="auto"/>
          </w:tcPr>
          <w:p w14:paraId="2F789203" w14:textId="7DDDDD94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70005582" w14:textId="2FE997FD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Don't use antipsychotics as first choice to treat behavioural and psychological symptoms of dementia.</w:t>
            </w:r>
          </w:p>
        </w:tc>
        <w:tc>
          <w:tcPr>
            <w:tcW w:w="0" w:type="auto"/>
            <w:vAlign w:val="center"/>
          </w:tcPr>
          <w:p w14:paraId="57DD468C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Geriatrics</w:t>
            </w:r>
          </w:p>
          <w:p w14:paraId="5EE85F78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Psychiatry</w:t>
            </w:r>
          </w:p>
          <w:p w14:paraId="13A36D0B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Care</w:t>
            </w:r>
          </w:p>
        </w:tc>
        <w:tc>
          <w:tcPr>
            <w:tcW w:w="0" w:type="auto"/>
            <w:vAlign w:val="center"/>
          </w:tcPr>
          <w:p w14:paraId="7F9AE86E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4D3AEF5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77EBD587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0" w:type="auto"/>
            <w:vAlign w:val="center"/>
          </w:tcPr>
          <w:p w14:paraId="2D6B84DE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5D804B" w14:textId="04AA1333" w:rsidR="00003008" w:rsidRDefault="00003008" w:rsidP="00517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Search CPP for Rx </w:t>
            </w:r>
            <w:r w:rsidRPr="00A74F92">
              <w:rPr>
                <w:rFonts w:ascii="Arial" w:hAnsi="Arial" w:cs="Arial"/>
                <w:sz w:val="24"/>
                <w:szCs w:val="24"/>
              </w:rPr>
              <w:t>anti-psychotic, restrict to age &gt;= 65</w:t>
            </w:r>
          </w:p>
          <w:p w14:paraId="35DEDFF2" w14:textId="77777777" w:rsidR="00003008" w:rsidRDefault="00003008" w:rsidP="005171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516FD" w14:textId="2F1151CC" w:rsidR="00003008" w:rsidRPr="004F63E9" w:rsidRDefault="00003008" w:rsidP="00517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3" w:history="1">
              <w:r w:rsidRPr="009B49FA">
                <w:rPr>
                  <w:rStyle w:val="Hyperlink"/>
                  <w:rFonts w:ascii="Arial" w:hAnsi="Arial" w:cs="Arial"/>
                  <w:sz w:val="24"/>
                  <w:szCs w:val="24"/>
                </w:rPr>
                <w:t>When Psychosis Isn’t the Diagnosis Toolkit</w:t>
              </w:r>
            </w:hyperlink>
          </w:p>
        </w:tc>
        <w:tc>
          <w:tcPr>
            <w:tcW w:w="0" w:type="auto"/>
          </w:tcPr>
          <w:p w14:paraId="66200C53" w14:textId="77777777" w:rsidR="00003008" w:rsidRPr="00FF267B" w:rsidRDefault="00003008" w:rsidP="005171F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459515CF" w14:textId="7685AC22" w:rsidTr="00913FB1">
        <w:trPr>
          <w:cantSplit/>
        </w:trPr>
        <w:tc>
          <w:tcPr>
            <w:tcW w:w="0" w:type="auto"/>
          </w:tcPr>
          <w:p w14:paraId="1F3AA037" w14:textId="438A6270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708A2B75" w14:textId="3F865368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Avoid using medications known to cause hypoglycemia to achieve hemoglobin A1c &lt;7.5% in many adults age 65 and older; moderate control is generally better.</w:t>
            </w:r>
          </w:p>
        </w:tc>
        <w:tc>
          <w:tcPr>
            <w:tcW w:w="0" w:type="auto"/>
            <w:vAlign w:val="center"/>
          </w:tcPr>
          <w:p w14:paraId="7FB20C34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Geriatrics</w:t>
            </w:r>
          </w:p>
        </w:tc>
        <w:tc>
          <w:tcPr>
            <w:tcW w:w="0" w:type="auto"/>
            <w:vAlign w:val="center"/>
          </w:tcPr>
          <w:p w14:paraId="6C8B2BE3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321F8D31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784FA9" w14:textId="52551978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 w:rsidRPr="00EB3B1E">
              <w:rPr>
                <w:rFonts w:ascii="Arial" w:hAnsi="Arial" w:cs="Arial"/>
                <w:sz w:val="24"/>
                <w:szCs w:val="24"/>
              </w:rPr>
              <w:t>Search CPP for Rx glyburide in age &gt;= 65 OR search &gt; age threshold and A1c &lt; 7.5%</w:t>
            </w:r>
          </w:p>
        </w:tc>
        <w:tc>
          <w:tcPr>
            <w:tcW w:w="0" w:type="auto"/>
          </w:tcPr>
          <w:p w14:paraId="01298858" w14:textId="77777777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144579CB" w14:textId="31605257" w:rsidTr="00913FB1">
        <w:trPr>
          <w:cantSplit/>
        </w:trPr>
        <w:tc>
          <w:tcPr>
            <w:tcW w:w="0" w:type="auto"/>
          </w:tcPr>
          <w:p w14:paraId="3ADE24B8" w14:textId="2EEF3D47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682FA3AB" w14:textId="272112E2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opioid analgesics or combination analgesics containing opioids or barbiturates as first line therapy for the treatment of migraine.</w:t>
            </w:r>
          </w:p>
        </w:tc>
        <w:tc>
          <w:tcPr>
            <w:tcW w:w="0" w:type="auto"/>
            <w:vAlign w:val="center"/>
          </w:tcPr>
          <w:p w14:paraId="06A6D4A1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Headache</w:t>
            </w:r>
          </w:p>
        </w:tc>
        <w:tc>
          <w:tcPr>
            <w:tcW w:w="0" w:type="auto"/>
            <w:vAlign w:val="center"/>
          </w:tcPr>
          <w:p w14:paraId="4937E17B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FD1FFF9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365600EC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1C6E352E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FAD836" w14:textId="77356058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 w:rsidRPr="00EB3B1E">
              <w:rPr>
                <w:rFonts w:ascii="Arial" w:hAnsi="Arial" w:cs="Arial"/>
                <w:sz w:val="24"/>
                <w:szCs w:val="24"/>
              </w:rPr>
              <w:t>Search CPP for dx 346 and active opioid Rx</w:t>
            </w:r>
          </w:p>
        </w:tc>
        <w:tc>
          <w:tcPr>
            <w:tcW w:w="0" w:type="auto"/>
          </w:tcPr>
          <w:p w14:paraId="57439A30" w14:textId="77777777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61BE0657" w14:textId="577F0CD3" w:rsidTr="00913FB1">
        <w:trPr>
          <w:cantSplit/>
        </w:trPr>
        <w:tc>
          <w:tcPr>
            <w:tcW w:w="0" w:type="auto"/>
          </w:tcPr>
          <w:p w14:paraId="0D8EEEBE" w14:textId="2B0E976C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485E22FC" w14:textId="77337EA8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alternate second-line antimicrobials to patients reporting non-severe reactions to penicillin when beta-lactams are the recommended first-line therapy.</w:t>
            </w:r>
          </w:p>
        </w:tc>
        <w:tc>
          <w:tcPr>
            <w:tcW w:w="0" w:type="auto"/>
            <w:vAlign w:val="center"/>
          </w:tcPr>
          <w:p w14:paraId="5E70E6E6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Infectious Disease</w:t>
            </w:r>
          </w:p>
        </w:tc>
        <w:tc>
          <w:tcPr>
            <w:tcW w:w="0" w:type="auto"/>
            <w:vAlign w:val="center"/>
          </w:tcPr>
          <w:p w14:paraId="2C56FF17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2084E0A9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AB7BED" w14:textId="67291184" w:rsidR="00003008" w:rsidRPr="00EB3B1E" w:rsidRDefault="00003008" w:rsidP="00226538">
            <w:pPr>
              <w:rPr>
                <w:rFonts w:ascii="Arial" w:hAnsi="Arial" w:cs="Arial"/>
                <w:sz w:val="24"/>
                <w:szCs w:val="24"/>
              </w:rPr>
            </w:pPr>
            <w:r w:rsidRPr="00EB3B1E">
              <w:rPr>
                <w:rFonts w:ascii="Arial" w:hAnsi="Arial" w:cs="Arial"/>
                <w:sz w:val="24"/>
                <w:szCs w:val="24"/>
              </w:rPr>
              <w:t>Search bills for dx 595 with concomitant Quinolone Rx</w:t>
            </w:r>
          </w:p>
        </w:tc>
        <w:tc>
          <w:tcPr>
            <w:tcW w:w="0" w:type="auto"/>
          </w:tcPr>
          <w:p w14:paraId="401BD3AB" w14:textId="77777777" w:rsidR="00003008" w:rsidRPr="00FF267B" w:rsidRDefault="00003008" w:rsidP="0022653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1C27C84A" w14:textId="069418DF" w:rsidTr="00913FB1">
        <w:trPr>
          <w:cantSplit/>
        </w:trPr>
        <w:tc>
          <w:tcPr>
            <w:tcW w:w="0" w:type="auto"/>
          </w:tcPr>
          <w:p w14:paraId="51EAE16A" w14:textId="69D3E0C6" w:rsidR="00003008" w:rsidRPr="008C0AD2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14:paraId="150537BD" w14:textId="3F699E4E" w:rsidR="00003008" w:rsidRPr="008C0AD2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0AD2">
              <w:rPr>
                <w:rFonts w:ascii="Arial" w:hAnsi="Arial" w:cs="Arial"/>
                <w:b/>
                <w:sz w:val="24"/>
                <w:szCs w:val="24"/>
              </w:rPr>
              <w:t>Don’t continue or add long-term medications unless there is an appropriate indication and a reasonable expectation of benefit in the individual patient</w:t>
            </w:r>
          </w:p>
        </w:tc>
        <w:tc>
          <w:tcPr>
            <w:tcW w:w="0" w:type="auto"/>
            <w:vAlign w:val="center"/>
          </w:tcPr>
          <w:p w14:paraId="043815F8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Care</w:t>
            </w:r>
          </w:p>
        </w:tc>
        <w:tc>
          <w:tcPr>
            <w:tcW w:w="0" w:type="auto"/>
            <w:vAlign w:val="center"/>
          </w:tcPr>
          <w:p w14:paraId="76AF896E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473845F5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54E0B1BA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F11B9" w14:textId="68B91AA8" w:rsidR="00003008" w:rsidRPr="004F63E9" w:rsidRDefault="00003008" w:rsidP="00FF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Meds list </w:t>
            </w:r>
            <w:r w:rsidRPr="00EB3B1E">
              <w:rPr>
                <w:rFonts w:ascii="Arial" w:hAnsi="Arial" w:cs="Arial"/>
                <w:sz w:val="24"/>
                <w:szCs w:val="24"/>
              </w:rPr>
              <w:t>or MAR search of LTC p</w:t>
            </w:r>
            <w:r>
              <w:rPr>
                <w:rFonts w:ascii="Arial" w:hAnsi="Arial" w:cs="Arial"/>
                <w:sz w:val="24"/>
                <w:szCs w:val="24"/>
              </w:rPr>
              <w:t>atients taking</w:t>
            </w:r>
            <w:r w:rsidRPr="00EB3B1E">
              <w:rPr>
                <w:rFonts w:ascii="Arial" w:hAnsi="Arial" w:cs="Arial"/>
                <w:sz w:val="24"/>
                <w:szCs w:val="24"/>
              </w:rPr>
              <w:t xml:space="preserve"> threshold # of meds</w:t>
            </w:r>
          </w:p>
        </w:tc>
        <w:tc>
          <w:tcPr>
            <w:tcW w:w="0" w:type="auto"/>
          </w:tcPr>
          <w:p w14:paraId="7A8ADD01" w14:textId="77777777" w:rsidR="00003008" w:rsidRPr="00FF267B" w:rsidRDefault="00003008" w:rsidP="00FF267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5A9D918F" w14:textId="3C4D5FD5" w:rsidTr="00913FB1">
        <w:trPr>
          <w:cantSplit/>
        </w:trPr>
        <w:tc>
          <w:tcPr>
            <w:tcW w:w="0" w:type="auto"/>
          </w:tcPr>
          <w:p w14:paraId="50FFDCBF" w14:textId="00630445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0BC0A90E" w14:textId="3AD6797F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nonsteroidal anti-inflammatory drugs (NSAIDS) in individuals with hypertension or heart failure or CKD of all causes, including diabetes.</w:t>
            </w:r>
          </w:p>
        </w:tc>
        <w:tc>
          <w:tcPr>
            <w:tcW w:w="0" w:type="auto"/>
            <w:vAlign w:val="center"/>
          </w:tcPr>
          <w:p w14:paraId="79223D9F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Nephrology</w:t>
            </w:r>
          </w:p>
        </w:tc>
        <w:tc>
          <w:tcPr>
            <w:tcW w:w="0" w:type="auto"/>
            <w:vAlign w:val="center"/>
          </w:tcPr>
          <w:p w14:paraId="31A2FE2A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54FD5F68" w14:textId="77777777" w:rsidR="00003008" w:rsidRPr="001C3142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4203EE" w14:textId="6BE5D1EF" w:rsidR="00003008" w:rsidRPr="001C3142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 w:rsidRPr="001C3142">
              <w:rPr>
                <w:rFonts w:ascii="Arial" w:hAnsi="Arial" w:cs="Arial"/>
                <w:sz w:val="24"/>
                <w:szCs w:val="24"/>
              </w:rPr>
              <w:t>Search CPP for NSAID Rx with concurrent dx 401, 428, 586</w:t>
            </w:r>
          </w:p>
        </w:tc>
        <w:tc>
          <w:tcPr>
            <w:tcW w:w="0" w:type="auto"/>
          </w:tcPr>
          <w:p w14:paraId="7F623A94" w14:textId="77777777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1DDD2EB0" w14:textId="766E358D" w:rsidTr="00913FB1">
        <w:trPr>
          <w:cantSplit/>
        </w:trPr>
        <w:tc>
          <w:tcPr>
            <w:tcW w:w="0" w:type="auto"/>
          </w:tcPr>
          <w:p w14:paraId="421EC2BF" w14:textId="71A7739A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69E5FB74" w14:textId="02C45C8A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angiotensin converting enzyme (ACE) inhibitors in combination with angiotensin II receptor blockers (ARBs) for the treatment of hypertension, diabetic nephropathy and heart failure.</w:t>
            </w:r>
          </w:p>
        </w:tc>
        <w:tc>
          <w:tcPr>
            <w:tcW w:w="0" w:type="auto"/>
            <w:vAlign w:val="center"/>
          </w:tcPr>
          <w:p w14:paraId="36EC8F8C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Nephrology</w:t>
            </w:r>
          </w:p>
        </w:tc>
        <w:tc>
          <w:tcPr>
            <w:tcW w:w="0" w:type="auto"/>
            <w:vAlign w:val="center"/>
          </w:tcPr>
          <w:p w14:paraId="2C4BB1BF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6EEEB597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B94D74" w14:textId="449495BE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Meds List</w:t>
            </w:r>
            <w:r w:rsidRPr="001C3142">
              <w:rPr>
                <w:rFonts w:ascii="Arial" w:hAnsi="Arial" w:cs="Arial"/>
                <w:sz w:val="24"/>
                <w:szCs w:val="24"/>
              </w:rPr>
              <w:t xml:space="preserve"> for presence of both ACEI and ARB</w:t>
            </w:r>
          </w:p>
        </w:tc>
        <w:tc>
          <w:tcPr>
            <w:tcW w:w="0" w:type="auto"/>
          </w:tcPr>
          <w:p w14:paraId="7D0950BD" w14:textId="77777777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190E4841" w14:textId="696B5FDD" w:rsidTr="00913FB1">
        <w:trPr>
          <w:cantSplit/>
        </w:trPr>
        <w:tc>
          <w:tcPr>
            <w:tcW w:w="0" w:type="auto"/>
          </w:tcPr>
          <w:p w14:paraId="7B524536" w14:textId="400ABF0D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2CA75736" w14:textId="3121DE19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repeat DEXA scans more often than every two years in the absence of high risk or new risk factors.</w:t>
            </w:r>
          </w:p>
          <w:p w14:paraId="2AC96D10" w14:textId="77777777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9CC5E" w14:textId="77777777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repeat dual energy X-ray absorptiometry (DEXA) scans more often than every 2 years.</w:t>
            </w:r>
          </w:p>
        </w:tc>
        <w:tc>
          <w:tcPr>
            <w:tcW w:w="0" w:type="auto"/>
            <w:vAlign w:val="center"/>
          </w:tcPr>
          <w:p w14:paraId="51D1E58C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Nuclear Medicine</w:t>
            </w:r>
          </w:p>
          <w:p w14:paraId="7C601CEC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428D9D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3F6786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Rheumatology</w:t>
            </w:r>
          </w:p>
        </w:tc>
        <w:tc>
          <w:tcPr>
            <w:tcW w:w="0" w:type="auto"/>
            <w:vAlign w:val="center"/>
          </w:tcPr>
          <w:p w14:paraId="5D734EF4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BA8C73A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0" w:type="auto"/>
            <w:vAlign w:val="center"/>
          </w:tcPr>
          <w:p w14:paraId="04EFB4B8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F4B69B" w14:textId="499F931D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 w:rsidRPr="00003008">
              <w:rPr>
                <w:rFonts w:ascii="Arial" w:hAnsi="Arial" w:cs="Arial"/>
                <w:sz w:val="24"/>
                <w:szCs w:val="24"/>
              </w:rPr>
              <w:t>Search EMR for presence of BMD results at &lt; 2 year intervals</w:t>
            </w:r>
          </w:p>
        </w:tc>
        <w:tc>
          <w:tcPr>
            <w:tcW w:w="0" w:type="auto"/>
          </w:tcPr>
          <w:p w14:paraId="57498F34" w14:textId="77777777" w:rsidR="00003008" w:rsidRPr="00FF267B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03008" w:rsidRPr="004F63E9" w14:paraId="114B9AEF" w14:textId="3C07A9A3" w:rsidTr="00913FB1">
        <w:trPr>
          <w:cantSplit/>
        </w:trPr>
        <w:tc>
          <w:tcPr>
            <w:tcW w:w="0" w:type="auto"/>
          </w:tcPr>
          <w:p w14:paraId="1F0AEF23" w14:textId="7750315B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67376C4" w14:textId="1E362A8C" w:rsidR="00003008" w:rsidRPr="004F63E9" w:rsidRDefault="00003008" w:rsidP="003B1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 not routinely use antipsychotics to treat primary insomnia in any age group.</w:t>
            </w:r>
          </w:p>
        </w:tc>
        <w:tc>
          <w:tcPr>
            <w:tcW w:w="0" w:type="auto"/>
            <w:vAlign w:val="center"/>
          </w:tcPr>
          <w:p w14:paraId="06A020DD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Psychiatry</w:t>
            </w:r>
          </w:p>
        </w:tc>
        <w:tc>
          <w:tcPr>
            <w:tcW w:w="0" w:type="auto"/>
            <w:vAlign w:val="center"/>
          </w:tcPr>
          <w:p w14:paraId="481961BA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0C6F331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0" w:type="auto"/>
            <w:vAlign w:val="center"/>
          </w:tcPr>
          <w:p w14:paraId="3B6C5161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7AC104" w14:textId="4D435FF3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bills and/or CPP for dx insomnia with concurrent Rx antipsychotic</w:t>
            </w:r>
          </w:p>
        </w:tc>
        <w:tc>
          <w:tcPr>
            <w:tcW w:w="0" w:type="auto"/>
          </w:tcPr>
          <w:p w14:paraId="0D03B3B3" w14:textId="77777777" w:rsidR="00003008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008" w:rsidRPr="004F63E9" w14:paraId="1DAC9ACE" w14:textId="62119991" w:rsidTr="00913FB1">
        <w:trPr>
          <w:cantSplit/>
        </w:trPr>
        <w:tc>
          <w:tcPr>
            <w:tcW w:w="0" w:type="auto"/>
          </w:tcPr>
          <w:p w14:paraId="629E2025" w14:textId="5A8275E1" w:rsidR="00003008" w:rsidRPr="00A750FC" w:rsidRDefault="00003008" w:rsidP="003B1C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05F0C47B" w14:textId="0184E6FD" w:rsidR="00003008" w:rsidRPr="004F63E9" w:rsidRDefault="00003008" w:rsidP="003B1C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A750FC">
              <w:rPr>
                <w:rFonts w:ascii="Arial" w:hAnsi="Arial" w:cs="Arial"/>
                <w:b/>
                <w:sz w:val="24"/>
                <w:szCs w:val="24"/>
              </w:rPr>
              <w:t>Don’t use antibiotics for acute asthma exa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cerbations without clear signs </w:t>
            </w:r>
            <w:r w:rsidRPr="00A750FC">
              <w:rPr>
                <w:rFonts w:ascii="Arial" w:hAnsi="Arial" w:cs="Arial"/>
                <w:b/>
                <w:sz w:val="24"/>
                <w:szCs w:val="24"/>
              </w:rPr>
              <w:t xml:space="preserve">of bacterial infection. </w:t>
            </w:r>
          </w:p>
        </w:tc>
        <w:tc>
          <w:tcPr>
            <w:tcW w:w="0" w:type="auto"/>
            <w:vAlign w:val="center"/>
          </w:tcPr>
          <w:p w14:paraId="00AE64ED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Medicine</w:t>
            </w:r>
          </w:p>
        </w:tc>
        <w:tc>
          <w:tcPr>
            <w:tcW w:w="0" w:type="auto"/>
            <w:vAlign w:val="center"/>
          </w:tcPr>
          <w:p w14:paraId="3D627B17" w14:textId="77777777" w:rsidR="00003008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</w:t>
            </w:r>
          </w:p>
          <w:p w14:paraId="0618F488" w14:textId="77777777" w:rsidR="00003008" w:rsidRPr="004F63E9" w:rsidRDefault="00003008" w:rsidP="003B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0" w:type="auto"/>
            <w:vAlign w:val="center"/>
          </w:tcPr>
          <w:p w14:paraId="0669B5D0" w14:textId="77777777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70AD14" w14:textId="283E98DF" w:rsidR="00003008" w:rsidRPr="004F63E9" w:rsidRDefault="00003008" w:rsidP="003B1CE0">
            <w:pPr>
              <w:rPr>
                <w:rFonts w:ascii="Arial" w:hAnsi="Arial" w:cs="Arial"/>
                <w:sz w:val="24"/>
                <w:szCs w:val="24"/>
              </w:rPr>
            </w:pPr>
            <w:r w:rsidRPr="00003008">
              <w:rPr>
                <w:rFonts w:ascii="Arial" w:hAnsi="Arial" w:cs="Arial"/>
                <w:sz w:val="24"/>
                <w:szCs w:val="24"/>
              </w:rPr>
              <w:t>Search bills for dx 493, concurrent antibiotic Rx given</w:t>
            </w:r>
          </w:p>
        </w:tc>
        <w:tc>
          <w:tcPr>
            <w:tcW w:w="0" w:type="auto"/>
          </w:tcPr>
          <w:p w14:paraId="583D2AB6" w14:textId="77777777" w:rsidR="00003008" w:rsidRPr="003E4D54" w:rsidRDefault="00003008" w:rsidP="003B1CE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5A219F42" w14:textId="77777777" w:rsidR="008526B3" w:rsidRPr="00BF0EB0" w:rsidRDefault="008526B3" w:rsidP="00AA3118">
      <w:pPr>
        <w:spacing w:line="240" w:lineRule="auto"/>
        <w:rPr>
          <w:sz w:val="20"/>
          <w:szCs w:val="20"/>
        </w:rPr>
      </w:pPr>
    </w:p>
    <w:sectPr w:rsidR="008526B3" w:rsidRPr="00BF0EB0" w:rsidSect="00913FB1">
      <w:footerReference w:type="default" r:id="rId14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5FE6" w14:textId="77777777" w:rsidR="000E237C" w:rsidRDefault="000E237C" w:rsidP="00145DF0">
      <w:pPr>
        <w:spacing w:after="0" w:line="240" w:lineRule="auto"/>
      </w:pPr>
      <w:r>
        <w:separator/>
      </w:r>
    </w:p>
  </w:endnote>
  <w:endnote w:type="continuationSeparator" w:id="0">
    <w:p w14:paraId="7BFC5683" w14:textId="77777777" w:rsidR="000E237C" w:rsidRDefault="000E237C" w:rsidP="001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A4FF" w14:textId="603B4B0D" w:rsidR="00A32049" w:rsidRDefault="00A1332C" w:rsidP="00913FB1">
    <w:pPr>
      <w:pStyle w:val="Footer"/>
      <w:jc w:val="right"/>
    </w:pPr>
    <w:r>
      <w:t xml:space="preserve">Last Reviewed: </w:t>
    </w:r>
    <w:r w:rsidR="00AB260E">
      <w:t>01</w:t>
    </w:r>
    <w:r w:rsidR="00A32049">
      <w:t>/</w:t>
    </w:r>
    <w:r w:rsidR="00AB260E">
      <w:t>20</w:t>
    </w:r>
    <w:r w:rsidR="00A32049">
      <w:t>/20</w:t>
    </w:r>
    <w:r w:rsidR="00AB260E">
      <w:t>21</w:t>
    </w:r>
    <w:r w:rsidR="00A32049">
      <w:t xml:space="preserve"> | Dr. Kimberly Wintemute MD CCFP FCFP | Primary Care Co-Lead, Choosing Wisely Canada</w:t>
    </w:r>
  </w:p>
  <w:p w14:paraId="34A2C90E" w14:textId="77777777" w:rsidR="00A32049" w:rsidRDefault="00A3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6928" w14:textId="77777777" w:rsidR="000E237C" w:rsidRDefault="000E237C" w:rsidP="00145DF0">
      <w:pPr>
        <w:spacing w:after="0" w:line="240" w:lineRule="auto"/>
      </w:pPr>
      <w:r>
        <w:separator/>
      </w:r>
    </w:p>
  </w:footnote>
  <w:footnote w:type="continuationSeparator" w:id="0">
    <w:p w14:paraId="0F21A431" w14:textId="77777777" w:rsidR="000E237C" w:rsidRDefault="000E237C" w:rsidP="0014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83BC4"/>
    <w:multiLevelType w:val="hybridMultilevel"/>
    <w:tmpl w:val="74D482C2"/>
    <w:lvl w:ilvl="0" w:tplc="3C529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B3C"/>
    <w:multiLevelType w:val="multilevel"/>
    <w:tmpl w:val="5BB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40049"/>
    <w:multiLevelType w:val="hybridMultilevel"/>
    <w:tmpl w:val="1110DC94"/>
    <w:lvl w:ilvl="0" w:tplc="BEA692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0088"/>
    <w:multiLevelType w:val="hybridMultilevel"/>
    <w:tmpl w:val="DFD81A10"/>
    <w:lvl w:ilvl="0" w:tplc="C5A00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57E3"/>
    <w:multiLevelType w:val="multilevel"/>
    <w:tmpl w:val="C9B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E165D"/>
    <w:multiLevelType w:val="hybridMultilevel"/>
    <w:tmpl w:val="59F80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2243"/>
    <w:multiLevelType w:val="hybridMultilevel"/>
    <w:tmpl w:val="FDC64D34"/>
    <w:lvl w:ilvl="0" w:tplc="A8B252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E37"/>
    <w:rsid w:val="00003008"/>
    <w:rsid w:val="00013E22"/>
    <w:rsid w:val="000263C6"/>
    <w:rsid w:val="00035056"/>
    <w:rsid w:val="00041120"/>
    <w:rsid w:val="00046953"/>
    <w:rsid w:val="000562CF"/>
    <w:rsid w:val="000714F8"/>
    <w:rsid w:val="00082E65"/>
    <w:rsid w:val="00085408"/>
    <w:rsid w:val="00090D8D"/>
    <w:rsid w:val="000917DE"/>
    <w:rsid w:val="000B1545"/>
    <w:rsid w:val="000B5DD6"/>
    <w:rsid w:val="000C4D50"/>
    <w:rsid w:val="000C548A"/>
    <w:rsid w:val="000C7D5F"/>
    <w:rsid w:val="000D7645"/>
    <w:rsid w:val="000E237C"/>
    <w:rsid w:val="000F6FCE"/>
    <w:rsid w:val="00103E79"/>
    <w:rsid w:val="00121ACF"/>
    <w:rsid w:val="0012585E"/>
    <w:rsid w:val="00134630"/>
    <w:rsid w:val="00135BD0"/>
    <w:rsid w:val="00137D1E"/>
    <w:rsid w:val="00145DF0"/>
    <w:rsid w:val="00147E88"/>
    <w:rsid w:val="001513D9"/>
    <w:rsid w:val="00151DD6"/>
    <w:rsid w:val="00154362"/>
    <w:rsid w:val="00161291"/>
    <w:rsid w:val="00162BA5"/>
    <w:rsid w:val="00164613"/>
    <w:rsid w:val="001649C8"/>
    <w:rsid w:val="00194785"/>
    <w:rsid w:val="00197775"/>
    <w:rsid w:val="001A092A"/>
    <w:rsid w:val="001A136E"/>
    <w:rsid w:val="001C1402"/>
    <w:rsid w:val="001C3142"/>
    <w:rsid w:val="001C47C8"/>
    <w:rsid w:val="001C6B57"/>
    <w:rsid w:val="001E5AD4"/>
    <w:rsid w:val="001E6C37"/>
    <w:rsid w:val="001F1F98"/>
    <w:rsid w:val="001F60EF"/>
    <w:rsid w:val="00200CC1"/>
    <w:rsid w:val="00207DC5"/>
    <w:rsid w:val="00212052"/>
    <w:rsid w:val="00220D65"/>
    <w:rsid w:val="00226538"/>
    <w:rsid w:val="00230CA1"/>
    <w:rsid w:val="00232D8A"/>
    <w:rsid w:val="002469AC"/>
    <w:rsid w:val="00251638"/>
    <w:rsid w:val="002548A7"/>
    <w:rsid w:val="0029311A"/>
    <w:rsid w:val="00295BE6"/>
    <w:rsid w:val="002A28E2"/>
    <w:rsid w:val="002A3706"/>
    <w:rsid w:val="002A7227"/>
    <w:rsid w:val="002B4E42"/>
    <w:rsid w:val="002B6E8E"/>
    <w:rsid w:val="002C463B"/>
    <w:rsid w:val="002D1822"/>
    <w:rsid w:val="002D3981"/>
    <w:rsid w:val="002D4057"/>
    <w:rsid w:val="002D4B2E"/>
    <w:rsid w:val="002D76FB"/>
    <w:rsid w:val="002D7EF8"/>
    <w:rsid w:val="002E3305"/>
    <w:rsid w:val="0031146F"/>
    <w:rsid w:val="00315DC5"/>
    <w:rsid w:val="00315EF4"/>
    <w:rsid w:val="003179B7"/>
    <w:rsid w:val="00321308"/>
    <w:rsid w:val="00341841"/>
    <w:rsid w:val="00350004"/>
    <w:rsid w:val="003657F1"/>
    <w:rsid w:val="00372EE2"/>
    <w:rsid w:val="00380BBA"/>
    <w:rsid w:val="003A61F2"/>
    <w:rsid w:val="003B1CE0"/>
    <w:rsid w:val="003B4311"/>
    <w:rsid w:val="003E4D54"/>
    <w:rsid w:val="003E6FAD"/>
    <w:rsid w:val="00402E82"/>
    <w:rsid w:val="00403622"/>
    <w:rsid w:val="00417F86"/>
    <w:rsid w:val="00422F3C"/>
    <w:rsid w:val="004231D7"/>
    <w:rsid w:val="004231EC"/>
    <w:rsid w:val="0043220E"/>
    <w:rsid w:val="00445DEE"/>
    <w:rsid w:val="00451C1D"/>
    <w:rsid w:val="00452A76"/>
    <w:rsid w:val="00474A5B"/>
    <w:rsid w:val="004D4D19"/>
    <w:rsid w:val="004D4F58"/>
    <w:rsid w:val="004E2C47"/>
    <w:rsid w:val="004E5BAE"/>
    <w:rsid w:val="004E7A01"/>
    <w:rsid w:val="004F3D04"/>
    <w:rsid w:val="004F63E9"/>
    <w:rsid w:val="004F672E"/>
    <w:rsid w:val="005171FD"/>
    <w:rsid w:val="0051762E"/>
    <w:rsid w:val="0052168A"/>
    <w:rsid w:val="0052316E"/>
    <w:rsid w:val="00527622"/>
    <w:rsid w:val="0053675B"/>
    <w:rsid w:val="00543478"/>
    <w:rsid w:val="00544E5C"/>
    <w:rsid w:val="00547740"/>
    <w:rsid w:val="0055132C"/>
    <w:rsid w:val="00561DE8"/>
    <w:rsid w:val="005637E3"/>
    <w:rsid w:val="00572C6F"/>
    <w:rsid w:val="005767A3"/>
    <w:rsid w:val="005803C6"/>
    <w:rsid w:val="00593639"/>
    <w:rsid w:val="0059431D"/>
    <w:rsid w:val="00594939"/>
    <w:rsid w:val="00595ACC"/>
    <w:rsid w:val="00596191"/>
    <w:rsid w:val="005B2E52"/>
    <w:rsid w:val="005B761A"/>
    <w:rsid w:val="005C3675"/>
    <w:rsid w:val="005C714C"/>
    <w:rsid w:val="005C7B88"/>
    <w:rsid w:val="005D393D"/>
    <w:rsid w:val="00600C35"/>
    <w:rsid w:val="006058D2"/>
    <w:rsid w:val="0063451F"/>
    <w:rsid w:val="00637493"/>
    <w:rsid w:val="00665002"/>
    <w:rsid w:val="0066552E"/>
    <w:rsid w:val="00680E23"/>
    <w:rsid w:val="0068438E"/>
    <w:rsid w:val="00684B9E"/>
    <w:rsid w:val="00685D35"/>
    <w:rsid w:val="00686985"/>
    <w:rsid w:val="00687793"/>
    <w:rsid w:val="0069085C"/>
    <w:rsid w:val="0069092D"/>
    <w:rsid w:val="00694879"/>
    <w:rsid w:val="006A3B25"/>
    <w:rsid w:val="006B3006"/>
    <w:rsid w:val="006C316E"/>
    <w:rsid w:val="006C3E37"/>
    <w:rsid w:val="006C4690"/>
    <w:rsid w:val="006D06B7"/>
    <w:rsid w:val="006D430B"/>
    <w:rsid w:val="006E3A7B"/>
    <w:rsid w:val="006F08EA"/>
    <w:rsid w:val="007064AC"/>
    <w:rsid w:val="007071A5"/>
    <w:rsid w:val="0071499F"/>
    <w:rsid w:val="00720429"/>
    <w:rsid w:val="00723789"/>
    <w:rsid w:val="007444E2"/>
    <w:rsid w:val="00744C0F"/>
    <w:rsid w:val="00772950"/>
    <w:rsid w:val="00786EEB"/>
    <w:rsid w:val="007B5EF1"/>
    <w:rsid w:val="007C0EAB"/>
    <w:rsid w:val="007D2C5A"/>
    <w:rsid w:val="008038A7"/>
    <w:rsid w:val="00804012"/>
    <w:rsid w:val="0081129E"/>
    <w:rsid w:val="00823DD8"/>
    <w:rsid w:val="00850025"/>
    <w:rsid w:val="008526B3"/>
    <w:rsid w:val="00872937"/>
    <w:rsid w:val="00882727"/>
    <w:rsid w:val="00891562"/>
    <w:rsid w:val="008B71FD"/>
    <w:rsid w:val="008C0AD2"/>
    <w:rsid w:val="008C3D18"/>
    <w:rsid w:val="008D2525"/>
    <w:rsid w:val="008F6993"/>
    <w:rsid w:val="00900FE9"/>
    <w:rsid w:val="00902A02"/>
    <w:rsid w:val="00902C49"/>
    <w:rsid w:val="00913FB1"/>
    <w:rsid w:val="00945AB8"/>
    <w:rsid w:val="009477AB"/>
    <w:rsid w:val="0095322E"/>
    <w:rsid w:val="00956D14"/>
    <w:rsid w:val="00963358"/>
    <w:rsid w:val="00964F89"/>
    <w:rsid w:val="00967151"/>
    <w:rsid w:val="00967CE4"/>
    <w:rsid w:val="009721F1"/>
    <w:rsid w:val="00987E56"/>
    <w:rsid w:val="00992A60"/>
    <w:rsid w:val="009933BC"/>
    <w:rsid w:val="009A683B"/>
    <w:rsid w:val="009B49FA"/>
    <w:rsid w:val="009C50E3"/>
    <w:rsid w:val="009D5204"/>
    <w:rsid w:val="009F2642"/>
    <w:rsid w:val="009F2F4C"/>
    <w:rsid w:val="009F48D8"/>
    <w:rsid w:val="009F7145"/>
    <w:rsid w:val="00A063F9"/>
    <w:rsid w:val="00A06A2B"/>
    <w:rsid w:val="00A1332C"/>
    <w:rsid w:val="00A1785B"/>
    <w:rsid w:val="00A2230E"/>
    <w:rsid w:val="00A228D7"/>
    <w:rsid w:val="00A32049"/>
    <w:rsid w:val="00A32AFE"/>
    <w:rsid w:val="00A449D6"/>
    <w:rsid w:val="00A52399"/>
    <w:rsid w:val="00A7408C"/>
    <w:rsid w:val="00A74F92"/>
    <w:rsid w:val="00A750FC"/>
    <w:rsid w:val="00A803EF"/>
    <w:rsid w:val="00A811E5"/>
    <w:rsid w:val="00A869E5"/>
    <w:rsid w:val="00A955D6"/>
    <w:rsid w:val="00AA3118"/>
    <w:rsid w:val="00AA55B8"/>
    <w:rsid w:val="00AB0A94"/>
    <w:rsid w:val="00AB260E"/>
    <w:rsid w:val="00AC01C1"/>
    <w:rsid w:val="00AD045A"/>
    <w:rsid w:val="00AD478B"/>
    <w:rsid w:val="00AE001B"/>
    <w:rsid w:val="00AE0F04"/>
    <w:rsid w:val="00AE6EAE"/>
    <w:rsid w:val="00AF2A0C"/>
    <w:rsid w:val="00AF5694"/>
    <w:rsid w:val="00B17398"/>
    <w:rsid w:val="00B26DB4"/>
    <w:rsid w:val="00B30EB6"/>
    <w:rsid w:val="00B338F0"/>
    <w:rsid w:val="00B35282"/>
    <w:rsid w:val="00B3694C"/>
    <w:rsid w:val="00B56689"/>
    <w:rsid w:val="00B62BEC"/>
    <w:rsid w:val="00B65A26"/>
    <w:rsid w:val="00B65B2C"/>
    <w:rsid w:val="00B71052"/>
    <w:rsid w:val="00B97441"/>
    <w:rsid w:val="00BA350D"/>
    <w:rsid w:val="00BC25AE"/>
    <w:rsid w:val="00BC7E18"/>
    <w:rsid w:val="00BD38DB"/>
    <w:rsid w:val="00BE386F"/>
    <w:rsid w:val="00BE3E64"/>
    <w:rsid w:val="00BE75F4"/>
    <w:rsid w:val="00BF0EB0"/>
    <w:rsid w:val="00BF2D7E"/>
    <w:rsid w:val="00C0063C"/>
    <w:rsid w:val="00C00B3A"/>
    <w:rsid w:val="00C00F32"/>
    <w:rsid w:val="00C05EFB"/>
    <w:rsid w:val="00C16EB2"/>
    <w:rsid w:val="00C2667D"/>
    <w:rsid w:val="00C27431"/>
    <w:rsid w:val="00C343E7"/>
    <w:rsid w:val="00C441DD"/>
    <w:rsid w:val="00C46A1C"/>
    <w:rsid w:val="00C6254E"/>
    <w:rsid w:val="00C63CF6"/>
    <w:rsid w:val="00C86D41"/>
    <w:rsid w:val="00CA5C0D"/>
    <w:rsid w:val="00CA78F0"/>
    <w:rsid w:val="00CB5B9E"/>
    <w:rsid w:val="00CB689C"/>
    <w:rsid w:val="00CC2DE2"/>
    <w:rsid w:val="00D0013E"/>
    <w:rsid w:val="00D013F2"/>
    <w:rsid w:val="00D0282A"/>
    <w:rsid w:val="00D07755"/>
    <w:rsid w:val="00D16959"/>
    <w:rsid w:val="00D2620A"/>
    <w:rsid w:val="00D27AFA"/>
    <w:rsid w:val="00D34848"/>
    <w:rsid w:val="00D4607C"/>
    <w:rsid w:val="00D46C3C"/>
    <w:rsid w:val="00D475BC"/>
    <w:rsid w:val="00D505B7"/>
    <w:rsid w:val="00D56830"/>
    <w:rsid w:val="00D57C3A"/>
    <w:rsid w:val="00D644A2"/>
    <w:rsid w:val="00D6693A"/>
    <w:rsid w:val="00D84054"/>
    <w:rsid w:val="00D8786F"/>
    <w:rsid w:val="00DA5CDC"/>
    <w:rsid w:val="00DB2F67"/>
    <w:rsid w:val="00DD02F8"/>
    <w:rsid w:val="00DD11ED"/>
    <w:rsid w:val="00DD1C66"/>
    <w:rsid w:val="00DD2DCF"/>
    <w:rsid w:val="00DF42C4"/>
    <w:rsid w:val="00E03932"/>
    <w:rsid w:val="00E1305B"/>
    <w:rsid w:val="00E312D9"/>
    <w:rsid w:val="00E34EF1"/>
    <w:rsid w:val="00E4021A"/>
    <w:rsid w:val="00E424E8"/>
    <w:rsid w:val="00E552BF"/>
    <w:rsid w:val="00E6516D"/>
    <w:rsid w:val="00E66C0D"/>
    <w:rsid w:val="00E718A0"/>
    <w:rsid w:val="00E918DF"/>
    <w:rsid w:val="00E962E9"/>
    <w:rsid w:val="00EB3953"/>
    <w:rsid w:val="00EB3B1E"/>
    <w:rsid w:val="00EC7139"/>
    <w:rsid w:val="00EE48E3"/>
    <w:rsid w:val="00EF4E8C"/>
    <w:rsid w:val="00EF67F5"/>
    <w:rsid w:val="00F04B0D"/>
    <w:rsid w:val="00F10B69"/>
    <w:rsid w:val="00F12B64"/>
    <w:rsid w:val="00F21214"/>
    <w:rsid w:val="00F21B13"/>
    <w:rsid w:val="00F26275"/>
    <w:rsid w:val="00F316C8"/>
    <w:rsid w:val="00F36AF7"/>
    <w:rsid w:val="00F36E6C"/>
    <w:rsid w:val="00F40678"/>
    <w:rsid w:val="00F675ED"/>
    <w:rsid w:val="00F95FC8"/>
    <w:rsid w:val="00FA0055"/>
    <w:rsid w:val="00FC407F"/>
    <w:rsid w:val="00FC5473"/>
    <w:rsid w:val="00FE3296"/>
    <w:rsid w:val="00FE62B5"/>
    <w:rsid w:val="00FE63E7"/>
    <w:rsid w:val="00FE63E9"/>
    <w:rsid w:val="00FE711E"/>
    <w:rsid w:val="00FE74C6"/>
    <w:rsid w:val="00FF12B3"/>
    <w:rsid w:val="00FF267B"/>
    <w:rsid w:val="00FF315C"/>
    <w:rsid w:val="00FF54B1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DBB71"/>
  <w15:docId w15:val="{AAB667F0-AD64-43D6-9E4E-D2BD07E3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F0"/>
  </w:style>
  <w:style w:type="paragraph" w:styleId="Footer">
    <w:name w:val="footer"/>
    <w:basedOn w:val="Normal"/>
    <w:link w:val="FooterChar"/>
    <w:uiPriority w:val="99"/>
    <w:unhideWhenUsed/>
    <w:rsid w:val="001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F0"/>
  </w:style>
  <w:style w:type="paragraph" w:styleId="BalloonText">
    <w:name w:val="Balloon Text"/>
    <w:basedOn w:val="Normal"/>
    <w:link w:val="BalloonTextChar"/>
    <w:uiPriority w:val="99"/>
    <w:semiHidden/>
    <w:unhideWhenUsed/>
    <w:rsid w:val="0014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oosingwiselycanada.org/perspective/antipsychotics-toolk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oosingwiselycanada.org/perspective/toolkit-benzos-primary-car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oosingwiselycanada.org/perspective/ppi-toolk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oosingwiselycanada.org/perspective/toolkit-t4-t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E1F2-1DB9-40D0-886F-34BDB706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Thompson</dc:creator>
  <cp:lastModifiedBy>Choosing Wisely</cp:lastModifiedBy>
  <cp:revision>3</cp:revision>
  <cp:lastPrinted>2018-05-07T13:07:00Z</cp:lastPrinted>
  <dcterms:created xsi:type="dcterms:W3CDTF">2018-05-07T13:50:00Z</dcterms:created>
  <dcterms:modified xsi:type="dcterms:W3CDTF">2021-01-20T19:01:00Z</dcterms:modified>
</cp:coreProperties>
</file>