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9D29" w14:textId="77777777" w:rsidR="00F91A06" w:rsidRDefault="00000000" w:rsidP="00114CD9">
      <w:pPr>
        <w:outlineLvl w:val="0"/>
        <w:rPr>
          <w:noProof/>
        </w:rPr>
      </w:pPr>
      <w:r>
        <w:rPr>
          <w:noProof/>
        </w:rPr>
        <w:object w:dxaOrig="1440" w:dyaOrig="1440" w14:anchorId="6726C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5pt;margin-top:-6.55pt;width:108pt;height:51.6pt;z-index:1">
            <v:imagedata r:id="rId7" o:title=""/>
            <w10:wrap type="square" side="right"/>
          </v:shape>
          <o:OLEObject Type="Embed" ProgID="MSPhotoEd.3" ShapeID="_x0000_s1026" DrawAspect="Content" ObjectID="_1738485441" r:id="rId8"/>
        </w:object>
      </w:r>
    </w:p>
    <w:p w14:paraId="4815F646" w14:textId="77777777" w:rsidR="00F91A06" w:rsidRDefault="00F91A06" w:rsidP="00114CD9">
      <w:pPr>
        <w:outlineLvl w:val="0"/>
        <w:rPr>
          <w:noProof/>
        </w:rPr>
      </w:pPr>
    </w:p>
    <w:p w14:paraId="0D95C71B" w14:textId="77777777" w:rsidR="00F91A06" w:rsidRDefault="00F91A06" w:rsidP="00114CD9">
      <w:pPr>
        <w:outlineLvl w:val="0"/>
        <w:rPr>
          <w:noProof/>
        </w:rPr>
      </w:pPr>
    </w:p>
    <w:p w14:paraId="46040AF5" w14:textId="77777777" w:rsidR="00F91A06" w:rsidRDefault="00F91A06" w:rsidP="001478C6">
      <w:pPr>
        <w:pStyle w:val="Heading1"/>
        <w:spacing w:line="240" w:lineRule="exact"/>
        <w:jc w:val="both"/>
        <w:rPr>
          <w:b w:val="0"/>
          <w:bCs w:val="0"/>
          <w:noProof/>
        </w:rPr>
      </w:pPr>
    </w:p>
    <w:p w14:paraId="24254308" w14:textId="77777777" w:rsidR="00F91A06" w:rsidRPr="003A4EE7" w:rsidRDefault="00F91A06" w:rsidP="001478C6">
      <w:pPr>
        <w:pStyle w:val="Heading1"/>
        <w:spacing w:line="240" w:lineRule="exact"/>
        <w:jc w:val="both"/>
        <w:rPr>
          <w:b w:val="0"/>
          <w:sz w:val="20"/>
          <w:szCs w:val="20"/>
        </w:rPr>
      </w:pPr>
      <w:r w:rsidRPr="003A4EE7">
        <w:rPr>
          <w:b w:val="0"/>
          <w:sz w:val="20"/>
          <w:szCs w:val="20"/>
        </w:rPr>
        <w:t>Divisions of Clinical Chemistry and Hematopathology</w:t>
      </w:r>
    </w:p>
    <w:p w14:paraId="44893E35" w14:textId="77777777" w:rsidR="00F91A06" w:rsidRPr="003A4EE7" w:rsidRDefault="00F91A06" w:rsidP="001478C6">
      <w:pPr>
        <w:spacing w:line="240" w:lineRule="exact"/>
        <w:rPr>
          <w:sz w:val="20"/>
          <w:szCs w:val="20"/>
        </w:rPr>
      </w:pPr>
      <w:r w:rsidRPr="003A4EE7">
        <w:rPr>
          <w:sz w:val="20"/>
          <w:szCs w:val="20"/>
        </w:rPr>
        <w:t>Department of Pathology and Laboratory Medicine</w:t>
      </w:r>
    </w:p>
    <w:p w14:paraId="602448D9" w14:textId="77777777" w:rsidR="00F91A06" w:rsidRPr="003A4EE7" w:rsidRDefault="00F91A06" w:rsidP="001478C6">
      <w:pPr>
        <w:spacing w:line="240" w:lineRule="exact"/>
        <w:jc w:val="both"/>
        <w:rPr>
          <w:sz w:val="20"/>
          <w:szCs w:val="20"/>
        </w:rPr>
      </w:pPr>
      <w:r w:rsidRPr="003A4EE7">
        <w:rPr>
          <w:sz w:val="20"/>
          <w:szCs w:val="20"/>
        </w:rPr>
        <w:t>5788 University Avenue</w:t>
      </w:r>
    </w:p>
    <w:p w14:paraId="6B0BA59D" w14:textId="77777777" w:rsidR="00F91A06" w:rsidRPr="003A4EE7" w:rsidRDefault="00F91A06" w:rsidP="007B1412">
      <w:pPr>
        <w:spacing w:line="240" w:lineRule="exact"/>
        <w:jc w:val="both"/>
        <w:rPr>
          <w:sz w:val="20"/>
          <w:szCs w:val="20"/>
        </w:rPr>
      </w:pPr>
      <w:r w:rsidRPr="003A4EE7">
        <w:rPr>
          <w:sz w:val="20"/>
          <w:szCs w:val="20"/>
        </w:rPr>
        <w:t>Halifax, Nova Scotia, B3H 1V8</w:t>
      </w:r>
    </w:p>
    <w:p w14:paraId="38DD70BF" w14:textId="77777777" w:rsidR="00F91A06" w:rsidRPr="003A4EE7" w:rsidRDefault="00F91A06" w:rsidP="001478C6">
      <w:pPr>
        <w:spacing w:line="240" w:lineRule="exact"/>
        <w:jc w:val="both"/>
        <w:rPr>
          <w:rFonts w:ascii="Helvetica" w:hAnsi="Helvetica"/>
          <w:sz w:val="20"/>
          <w:szCs w:val="20"/>
        </w:rPr>
      </w:pPr>
      <w:r w:rsidRPr="003A4EE7">
        <w:rPr>
          <w:sz w:val="20"/>
          <w:szCs w:val="20"/>
        </w:rPr>
        <w:t>Tel:   902 473 5194      Fax:   902 473 2123</w:t>
      </w:r>
      <w:r w:rsidRPr="003A4EE7">
        <w:rPr>
          <w:rFonts w:ascii="Helvetica" w:hAnsi="Helvetica"/>
          <w:sz w:val="20"/>
          <w:szCs w:val="20"/>
        </w:rPr>
        <w:tab/>
      </w:r>
    </w:p>
    <w:p w14:paraId="223B1AD7" w14:textId="77777777" w:rsidR="00F91A06" w:rsidRDefault="00F91A06" w:rsidP="00D0467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0467F">
        <w:rPr>
          <w:rFonts w:ascii="Arial" w:hAnsi="Arial" w:cs="Arial"/>
          <w:b/>
          <w:bCs/>
          <w:sz w:val="28"/>
          <w:szCs w:val="28"/>
        </w:rPr>
        <w:t>MEMORANDUM</w:t>
      </w:r>
    </w:p>
    <w:p w14:paraId="50818092" w14:textId="77777777" w:rsidR="00F91A06" w:rsidRPr="00973EAE" w:rsidRDefault="00F91A06">
      <w:pPr>
        <w:rPr>
          <w:sz w:val="20"/>
        </w:rPr>
      </w:pPr>
    </w:p>
    <w:p w14:paraId="132E5269" w14:textId="77777777" w:rsidR="00F91A06" w:rsidRPr="001478C6" w:rsidRDefault="00F91A06" w:rsidP="001C3536">
      <w:pPr>
        <w:rPr>
          <w:sz w:val="22"/>
          <w:szCs w:val="22"/>
        </w:rPr>
      </w:pPr>
      <w:r w:rsidRPr="001478C6">
        <w:rPr>
          <w:b/>
          <w:sz w:val="22"/>
          <w:szCs w:val="22"/>
        </w:rPr>
        <w:t>To:</w:t>
      </w:r>
      <w:r w:rsidRPr="001478C6">
        <w:rPr>
          <w:sz w:val="22"/>
          <w:szCs w:val="22"/>
        </w:rPr>
        <w:tab/>
      </w:r>
      <w:r w:rsidRPr="001478C6">
        <w:rPr>
          <w:sz w:val="22"/>
          <w:szCs w:val="22"/>
        </w:rPr>
        <w:tab/>
      </w:r>
      <w:r w:rsidR="003A4EE7">
        <w:rPr>
          <w:sz w:val="22"/>
          <w:szCs w:val="22"/>
        </w:rPr>
        <w:t xml:space="preserve">Capital Health Physicians, Health Service Managers (inpatient, outpatient, and </w:t>
      </w:r>
      <w:r w:rsidR="002E4559">
        <w:rPr>
          <w:sz w:val="22"/>
          <w:szCs w:val="22"/>
        </w:rPr>
        <w:t>Emergency</w:t>
      </w:r>
      <w:r w:rsidR="003A4EE7">
        <w:rPr>
          <w:sz w:val="22"/>
          <w:szCs w:val="22"/>
        </w:rPr>
        <w:t xml:space="preserve"> Dept),  </w:t>
      </w:r>
      <w:r w:rsidR="002E4559">
        <w:rPr>
          <w:sz w:val="22"/>
          <w:szCs w:val="22"/>
        </w:rPr>
        <w:t xml:space="preserve"> </w:t>
      </w:r>
      <w:r w:rsidRPr="001478C6">
        <w:rPr>
          <w:sz w:val="22"/>
          <w:szCs w:val="22"/>
        </w:rPr>
        <w:t xml:space="preserve"> </w:t>
      </w:r>
    </w:p>
    <w:p w14:paraId="731C32CD" w14:textId="77777777" w:rsidR="00F91A06" w:rsidRPr="001478C6" w:rsidRDefault="00F91A06" w:rsidP="00AB5443">
      <w:pPr>
        <w:rPr>
          <w:sz w:val="22"/>
          <w:szCs w:val="22"/>
        </w:rPr>
      </w:pPr>
      <w:r w:rsidRPr="001478C6">
        <w:rPr>
          <w:sz w:val="22"/>
          <w:szCs w:val="22"/>
        </w:rPr>
        <w:tab/>
      </w:r>
      <w:r w:rsidRPr="001478C6">
        <w:rPr>
          <w:sz w:val="22"/>
          <w:szCs w:val="22"/>
        </w:rPr>
        <w:tab/>
        <w:t>Nova Scotia District Laboratories</w:t>
      </w:r>
    </w:p>
    <w:p w14:paraId="1BD5C634" w14:textId="77777777" w:rsidR="00F91A06" w:rsidRPr="001478C6" w:rsidRDefault="00F91A06" w:rsidP="00307D4F">
      <w:pPr>
        <w:rPr>
          <w:b/>
          <w:bCs/>
          <w:sz w:val="22"/>
          <w:szCs w:val="22"/>
        </w:rPr>
      </w:pPr>
    </w:p>
    <w:p w14:paraId="732189BC" w14:textId="1E3C1FB0" w:rsidR="00CE71DA" w:rsidRDefault="00F91A06" w:rsidP="00CE71DA">
      <w:pPr>
        <w:outlineLvl w:val="0"/>
        <w:rPr>
          <w:sz w:val="22"/>
          <w:szCs w:val="22"/>
        </w:rPr>
      </w:pPr>
      <w:r w:rsidRPr="001478C6">
        <w:rPr>
          <w:b/>
          <w:bCs/>
          <w:sz w:val="22"/>
          <w:szCs w:val="22"/>
        </w:rPr>
        <w:t>From:</w:t>
      </w:r>
      <w:r w:rsidR="003A4EE7">
        <w:rPr>
          <w:sz w:val="22"/>
          <w:szCs w:val="22"/>
        </w:rPr>
        <w:tab/>
      </w:r>
    </w:p>
    <w:p w14:paraId="68ADF11F" w14:textId="17169CCC" w:rsidR="00F91A06" w:rsidRDefault="00F91A06" w:rsidP="003A4EE7">
      <w:pPr>
        <w:outlineLvl w:val="0"/>
        <w:rPr>
          <w:sz w:val="22"/>
          <w:szCs w:val="22"/>
        </w:rPr>
      </w:pPr>
    </w:p>
    <w:p w14:paraId="74082DF7" w14:textId="77777777" w:rsidR="00F91A06" w:rsidRPr="001478C6" w:rsidRDefault="00F91A06" w:rsidP="001478C6">
      <w:pPr>
        <w:ind w:left="720" w:firstLine="720"/>
        <w:outlineLvl w:val="0"/>
        <w:rPr>
          <w:sz w:val="22"/>
          <w:szCs w:val="22"/>
        </w:rPr>
      </w:pPr>
    </w:p>
    <w:p w14:paraId="78D858A9" w14:textId="77777777" w:rsidR="00F91A06" w:rsidRDefault="00F91A06">
      <w:pPr>
        <w:rPr>
          <w:sz w:val="22"/>
          <w:szCs w:val="22"/>
        </w:rPr>
      </w:pPr>
      <w:r w:rsidRPr="001478C6">
        <w:rPr>
          <w:b/>
          <w:bCs/>
          <w:sz w:val="22"/>
          <w:szCs w:val="22"/>
        </w:rPr>
        <w:t>Date:</w:t>
      </w:r>
      <w:r w:rsidRPr="001478C6">
        <w:rPr>
          <w:b/>
          <w:bCs/>
          <w:sz w:val="22"/>
          <w:szCs w:val="22"/>
        </w:rPr>
        <w:tab/>
      </w:r>
      <w:r w:rsidRPr="001478C6">
        <w:rPr>
          <w:sz w:val="22"/>
          <w:szCs w:val="22"/>
        </w:rPr>
        <w:tab/>
      </w:r>
      <w:r>
        <w:rPr>
          <w:sz w:val="22"/>
          <w:szCs w:val="22"/>
        </w:rPr>
        <w:t>March 12, 2014</w:t>
      </w:r>
    </w:p>
    <w:p w14:paraId="1ECE3605" w14:textId="77777777" w:rsidR="00F91A06" w:rsidRPr="001478C6" w:rsidRDefault="00F91A06">
      <w:pPr>
        <w:rPr>
          <w:sz w:val="22"/>
          <w:szCs w:val="22"/>
        </w:rPr>
      </w:pPr>
    </w:p>
    <w:p w14:paraId="67FB2393" w14:textId="77777777" w:rsidR="00F91A06" w:rsidRPr="001478C6" w:rsidRDefault="00F91A06" w:rsidP="00C07686">
      <w:pPr>
        <w:ind w:left="1440" w:hanging="1440"/>
        <w:rPr>
          <w:sz w:val="22"/>
          <w:szCs w:val="22"/>
        </w:rPr>
      </w:pPr>
      <w:r w:rsidRPr="001478C6">
        <w:rPr>
          <w:b/>
          <w:bCs/>
          <w:sz w:val="22"/>
          <w:szCs w:val="22"/>
        </w:rPr>
        <w:t>Subject: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LDH (Lactate Dehydrogenase) R</w:t>
      </w:r>
      <w:r w:rsidRPr="001478C6">
        <w:rPr>
          <w:b/>
          <w:bCs/>
          <w:sz w:val="22"/>
          <w:szCs w:val="22"/>
        </w:rPr>
        <w:t>equest</w:t>
      </w:r>
      <w:r w:rsidR="002E4559">
        <w:rPr>
          <w:b/>
          <w:bCs/>
          <w:sz w:val="22"/>
          <w:szCs w:val="22"/>
        </w:rPr>
        <w:t xml:space="preserve">: New Requesting Requirements and Collection Tube </w:t>
      </w:r>
      <w:r w:rsidR="003A4EE7">
        <w:rPr>
          <w:b/>
          <w:bCs/>
          <w:sz w:val="22"/>
          <w:szCs w:val="22"/>
        </w:rPr>
        <w:t>Change Effective April 6, 2014</w:t>
      </w:r>
    </w:p>
    <w:p w14:paraId="28909C5D" w14:textId="77777777" w:rsidR="00F91A06" w:rsidRDefault="00F91A06" w:rsidP="00307D4F">
      <w:pPr>
        <w:pBdr>
          <w:bottom w:val="single" w:sz="12" w:space="1" w:color="auto"/>
        </w:pBdr>
      </w:pPr>
    </w:p>
    <w:p w14:paraId="4ECB6D15" w14:textId="77777777" w:rsidR="002E4559" w:rsidRDefault="002E4559" w:rsidP="00AA1BB7">
      <w:pPr>
        <w:pStyle w:val="ListParagraph"/>
        <w:spacing w:before="99" w:after="99"/>
        <w:ind w:left="0"/>
        <w:rPr>
          <w:color w:val="000000"/>
          <w:sz w:val="22"/>
          <w:szCs w:val="22"/>
        </w:rPr>
      </w:pPr>
    </w:p>
    <w:p w14:paraId="6D249B8A" w14:textId="77777777" w:rsidR="00F91A06" w:rsidRDefault="00F91A06" w:rsidP="00AA1BB7">
      <w:pPr>
        <w:pStyle w:val="ListParagraph"/>
        <w:spacing w:before="99" w:after="99"/>
        <w:ind w:left="0"/>
        <w:rPr>
          <w:b/>
          <w:color w:val="000000"/>
          <w:sz w:val="22"/>
          <w:szCs w:val="22"/>
        </w:rPr>
      </w:pPr>
      <w:r w:rsidRPr="007534B8">
        <w:rPr>
          <w:color w:val="000000"/>
          <w:sz w:val="22"/>
          <w:szCs w:val="22"/>
        </w:rPr>
        <w:t xml:space="preserve">As part of the move towards promoting appropriate utilization of laboratory tests, </w:t>
      </w:r>
      <w:r w:rsidRPr="003A4EE7">
        <w:rPr>
          <w:b/>
          <w:color w:val="000000"/>
          <w:sz w:val="22"/>
          <w:szCs w:val="22"/>
        </w:rPr>
        <w:t xml:space="preserve">effective </w:t>
      </w:r>
      <w:r w:rsidR="003A4EE7" w:rsidRPr="003A4EE7">
        <w:rPr>
          <w:b/>
          <w:color w:val="000000"/>
          <w:sz w:val="22"/>
          <w:szCs w:val="22"/>
        </w:rPr>
        <w:t>April 6</w:t>
      </w:r>
      <w:r w:rsidR="002E4559" w:rsidRPr="003A4EE7">
        <w:rPr>
          <w:b/>
          <w:color w:val="000000"/>
          <w:sz w:val="22"/>
          <w:szCs w:val="22"/>
        </w:rPr>
        <w:t xml:space="preserve">, </w:t>
      </w:r>
      <w:r w:rsidRPr="003A4EE7">
        <w:rPr>
          <w:b/>
          <w:color w:val="000000"/>
          <w:sz w:val="22"/>
          <w:szCs w:val="22"/>
        </w:rPr>
        <w:t>2014</w:t>
      </w:r>
      <w:r w:rsidRPr="002E4559">
        <w:rPr>
          <w:color w:val="000000"/>
          <w:sz w:val="22"/>
          <w:szCs w:val="22"/>
        </w:rPr>
        <w:t xml:space="preserve">, LDH testing </w:t>
      </w:r>
      <w:r w:rsidR="003A4EE7">
        <w:rPr>
          <w:color w:val="000000"/>
          <w:sz w:val="22"/>
          <w:szCs w:val="22"/>
        </w:rPr>
        <w:t xml:space="preserve">at Capital Health </w:t>
      </w:r>
      <w:r w:rsidRPr="002E4559">
        <w:rPr>
          <w:color w:val="000000"/>
          <w:sz w:val="22"/>
          <w:szCs w:val="22"/>
        </w:rPr>
        <w:t xml:space="preserve">will be performed on </w:t>
      </w:r>
      <w:r w:rsidRPr="002E4559">
        <w:rPr>
          <w:sz w:val="22"/>
          <w:szCs w:val="22"/>
        </w:rPr>
        <w:t>serum</w:t>
      </w:r>
      <w:r w:rsidRPr="002E4559">
        <w:rPr>
          <w:color w:val="000000"/>
          <w:sz w:val="22"/>
          <w:szCs w:val="22"/>
        </w:rPr>
        <w:t xml:space="preserve"> (not plasma) samples and requests for</w:t>
      </w:r>
      <w:r w:rsidRPr="007534B8">
        <w:rPr>
          <w:color w:val="000000"/>
          <w:sz w:val="22"/>
          <w:szCs w:val="22"/>
        </w:rPr>
        <w:t xml:space="preserve"> testing will only be processed if </w:t>
      </w:r>
      <w:r>
        <w:rPr>
          <w:b/>
          <w:color w:val="000000"/>
          <w:sz w:val="22"/>
          <w:szCs w:val="22"/>
        </w:rPr>
        <w:t>clinical details</w:t>
      </w:r>
      <w:r w:rsidRPr="00EA3CAB">
        <w:rPr>
          <w:b/>
          <w:color w:val="000000"/>
          <w:sz w:val="22"/>
          <w:szCs w:val="22"/>
        </w:rPr>
        <w:t xml:space="preserve"> are provided in </w:t>
      </w:r>
      <w:r w:rsidR="002E4559">
        <w:rPr>
          <w:b/>
          <w:color w:val="000000"/>
          <w:sz w:val="22"/>
          <w:szCs w:val="22"/>
        </w:rPr>
        <w:t xml:space="preserve">brackets next to the LDH request.  </w:t>
      </w:r>
      <w:r w:rsidRPr="00EA3CAB">
        <w:rPr>
          <w:b/>
          <w:color w:val="000000"/>
          <w:sz w:val="22"/>
          <w:szCs w:val="22"/>
        </w:rPr>
        <w:t>The term ‘Do not cancel’ will not be accepted</w:t>
      </w:r>
      <w:r>
        <w:rPr>
          <w:b/>
          <w:color w:val="000000"/>
          <w:sz w:val="22"/>
          <w:szCs w:val="22"/>
        </w:rPr>
        <w:t>.</w:t>
      </w:r>
    </w:p>
    <w:p w14:paraId="306FDFF7" w14:textId="77777777" w:rsidR="002E4559" w:rsidRPr="00233D26" w:rsidRDefault="002E4559" w:rsidP="00AA1BB7">
      <w:pPr>
        <w:pStyle w:val="ListParagraph"/>
        <w:spacing w:before="99" w:after="99"/>
        <w:ind w:left="0"/>
        <w:rPr>
          <w:b/>
          <w:color w:val="000000"/>
          <w:sz w:val="22"/>
          <w:szCs w:val="22"/>
          <w:u w:val="single"/>
        </w:rPr>
      </w:pPr>
    </w:p>
    <w:p w14:paraId="4EEFD0AF" w14:textId="77777777" w:rsidR="002E4559" w:rsidRPr="00233D26" w:rsidRDefault="003A4EE7" w:rsidP="00AA1BB7">
      <w:pPr>
        <w:pStyle w:val="ListParagraph"/>
        <w:spacing w:before="99" w:after="99"/>
        <w:ind w:left="0"/>
        <w:rPr>
          <w:b/>
          <w:color w:val="000000"/>
          <w:sz w:val="22"/>
          <w:szCs w:val="22"/>
        </w:rPr>
      </w:pPr>
      <w:r w:rsidRPr="00233D26">
        <w:rPr>
          <w:b/>
          <w:color w:val="000000"/>
          <w:sz w:val="22"/>
          <w:szCs w:val="22"/>
        </w:rPr>
        <w:t>Collection tube change: LDH will be collected</w:t>
      </w:r>
      <w:r w:rsidR="002E4559" w:rsidRPr="00233D26">
        <w:rPr>
          <w:b/>
          <w:color w:val="000000"/>
          <w:sz w:val="22"/>
          <w:szCs w:val="22"/>
        </w:rPr>
        <w:t xml:space="preserve"> in a Gold SST tube. </w:t>
      </w:r>
    </w:p>
    <w:p w14:paraId="6125AE20" w14:textId="77777777" w:rsidR="00F91A06" w:rsidRPr="00233D26" w:rsidRDefault="00F91A06" w:rsidP="00AA1BB7">
      <w:pPr>
        <w:pStyle w:val="ListParagraph"/>
        <w:spacing w:before="99" w:after="99"/>
        <w:ind w:left="0"/>
        <w:rPr>
          <w:b/>
          <w:color w:val="000000"/>
          <w:sz w:val="22"/>
          <w:szCs w:val="22"/>
          <w:u w:val="single"/>
        </w:rPr>
      </w:pPr>
    </w:p>
    <w:p w14:paraId="7D95F8AF" w14:textId="77777777" w:rsidR="00F91A06" w:rsidRPr="007534B8" w:rsidRDefault="00F91A06" w:rsidP="00AA1BB7">
      <w:pPr>
        <w:pStyle w:val="ListParagraph"/>
        <w:spacing w:before="99" w:after="99"/>
        <w:ind w:left="0"/>
        <w:rPr>
          <w:b/>
          <w:color w:val="000000"/>
          <w:sz w:val="22"/>
          <w:szCs w:val="22"/>
          <w:u w:val="single"/>
        </w:rPr>
      </w:pPr>
      <w:r w:rsidRPr="007534B8">
        <w:rPr>
          <w:b/>
          <w:color w:val="000000"/>
          <w:sz w:val="22"/>
          <w:szCs w:val="22"/>
          <w:u w:val="single"/>
        </w:rPr>
        <w:t>This decision is based on the following:</w:t>
      </w:r>
    </w:p>
    <w:p w14:paraId="7D724376" w14:textId="77777777" w:rsidR="00F91A06" w:rsidRPr="007534B8" w:rsidRDefault="00F91A06" w:rsidP="00AA1BB7">
      <w:pPr>
        <w:pStyle w:val="ListParagraph"/>
        <w:spacing w:before="99" w:after="99"/>
        <w:ind w:left="0"/>
        <w:rPr>
          <w:color w:val="000000"/>
          <w:sz w:val="22"/>
          <w:szCs w:val="22"/>
        </w:rPr>
      </w:pPr>
    </w:p>
    <w:p w14:paraId="239309AB" w14:textId="77777777" w:rsidR="00F91A06" w:rsidRPr="007534B8" w:rsidRDefault="00F91A06">
      <w:pPr>
        <w:numPr>
          <w:ilvl w:val="0"/>
          <w:numId w:val="8"/>
        </w:numPr>
        <w:spacing w:before="99" w:after="99"/>
        <w:rPr>
          <w:sz w:val="22"/>
          <w:szCs w:val="22"/>
        </w:rPr>
      </w:pPr>
      <w:r w:rsidRPr="007534B8">
        <w:rPr>
          <w:color w:val="000000"/>
          <w:sz w:val="22"/>
          <w:szCs w:val="22"/>
        </w:rPr>
        <w:t xml:space="preserve">LDH is generally a </w:t>
      </w:r>
      <w:r>
        <w:rPr>
          <w:color w:val="000000"/>
          <w:sz w:val="22"/>
          <w:szCs w:val="22"/>
        </w:rPr>
        <w:t xml:space="preserve">non tissue </w:t>
      </w:r>
      <w:r w:rsidRPr="007534B8">
        <w:rPr>
          <w:color w:val="000000"/>
          <w:sz w:val="22"/>
          <w:szCs w:val="22"/>
        </w:rPr>
        <w:t>specific biomarker, which</w:t>
      </w:r>
      <w:r>
        <w:rPr>
          <w:color w:val="000000"/>
          <w:sz w:val="22"/>
          <w:szCs w:val="22"/>
        </w:rPr>
        <w:t xml:space="preserve"> is</w:t>
      </w:r>
      <w:r w:rsidRPr="007534B8">
        <w:rPr>
          <w:color w:val="000000"/>
          <w:sz w:val="22"/>
          <w:szCs w:val="22"/>
        </w:rPr>
        <w:t xml:space="preserve"> present in almost all body tissues </w:t>
      </w:r>
      <w:r>
        <w:rPr>
          <w:color w:val="000000"/>
          <w:sz w:val="22"/>
          <w:szCs w:val="22"/>
        </w:rPr>
        <w:t xml:space="preserve">so </w:t>
      </w:r>
      <w:r w:rsidRPr="007534B8">
        <w:rPr>
          <w:color w:val="000000"/>
          <w:sz w:val="22"/>
          <w:szCs w:val="22"/>
        </w:rPr>
        <w:t>its release into the blood stream can be triggered by a wide variety of tissues damaged by injury or disease (muscle, liver, RBC, bone, heart..etc)</w:t>
      </w:r>
      <w:r>
        <w:rPr>
          <w:color w:val="000000"/>
          <w:sz w:val="22"/>
          <w:szCs w:val="22"/>
        </w:rPr>
        <w:t>, hence the very high levels observed in, e.g., ischemic injury and sepsis</w:t>
      </w:r>
      <w:r w:rsidRPr="007534B8">
        <w:rPr>
          <w:color w:val="000000"/>
          <w:sz w:val="22"/>
          <w:szCs w:val="22"/>
        </w:rPr>
        <w:t>.  Moreover, it may be raised in a proportion of healthy individuals, without an underlying pathology e.g. following physical exercise or as a result of incorrect handling of blood samples, which could lead to unwarranted follow-up testing,</w:t>
      </w:r>
      <w:r>
        <w:rPr>
          <w:color w:val="000000"/>
          <w:sz w:val="22"/>
          <w:szCs w:val="22"/>
        </w:rPr>
        <w:t xml:space="preserve"> treatment, and patient anxiety</w:t>
      </w:r>
      <w:r w:rsidRPr="007534B8">
        <w:rPr>
          <w:color w:val="000000"/>
          <w:sz w:val="22"/>
          <w:szCs w:val="22"/>
        </w:rPr>
        <w:t xml:space="preserve">.  </w:t>
      </w:r>
    </w:p>
    <w:p w14:paraId="5AE6AC14" w14:textId="77777777" w:rsidR="00F91A06" w:rsidRPr="007534B8" w:rsidRDefault="00F91A06">
      <w:pPr>
        <w:numPr>
          <w:ilvl w:val="0"/>
          <w:numId w:val="8"/>
        </w:numPr>
        <w:spacing w:before="99" w:after="99"/>
        <w:rPr>
          <w:sz w:val="22"/>
          <w:szCs w:val="22"/>
        </w:rPr>
      </w:pPr>
      <w:r w:rsidRPr="007534B8">
        <w:rPr>
          <w:color w:val="000000"/>
          <w:sz w:val="22"/>
          <w:szCs w:val="22"/>
        </w:rPr>
        <w:t xml:space="preserve">The advent of more organ specific tests has rendered LDH a redundant marker in this respect. For example, </w:t>
      </w:r>
      <w:r w:rsidRPr="007534B8">
        <w:rPr>
          <w:sz w:val="22"/>
          <w:szCs w:val="22"/>
        </w:rPr>
        <w:t>increases in serum LD</w:t>
      </w:r>
      <w:r>
        <w:rPr>
          <w:sz w:val="22"/>
          <w:szCs w:val="22"/>
        </w:rPr>
        <w:t>H</w:t>
      </w:r>
      <w:r w:rsidRPr="007534B8">
        <w:rPr>
          <w:sz w:val="22"/>
          <w:szCs w:val="22"/>
        </w:rPr>
        <w:t xml:space="preserve"> are seen following a myocardial infa</w:t>
      </w:r>
      <w:r>
        <w:rPr>
          <w:sz w:val="22"/>
          <w:szCs w:val="22"/>
        </w:rPr>
        <w:t>rct and</w:t>
      </w:r>
      <w:r w:rsidRPr="007534B8">
        <w:rPr>
          <w:sz w:val="22"/>
          <w:szCs w:val="22"/>
        </w:rPr>
        <w:t xml:space="preserve"> the test has been replaced by </w:t>
      </w:r>
      <w:r>
        <w:rPr>
          <w:sz w:val="22"/>
          <w:szCs w:val="22"/>
        </w:rPr>
        <w:t>the determination of troponin; i</w:t>
      </w:r>
      <w:r w:rsidRPr="007534B8">
        <w:rPr>
          <w:sz w:val="22"/>
          <w:szCs w:val="22"/>
        </w:rPr>
        <w:t>n liver disease, elevations of LD</w:t>
      </w:r>
      <w:r>
        <w:rPr>
          <w:sz w:val="22"/>
          <w:szCs w:val="22"/>
        </w:rPr>
        <w:t>H</w:t>
      </w:r>
      <w:r w:rsidRPr="007534B8">
        <w:rPr>
          <w:sz w:val="22"/>
          <w:szCs w:val="22"/>
        </w:rPr>
        <w:t xml:space="preserve"> are not as </w:t>
      </w:r>
      <w:r>
        <w:rPr>
          <w:sz w:val="22"/>
          <w:szCs w:val="22"/>
        </w:rPr>
        <w:t>sensitive or specific as the increase</w:t>
      </w:r>
      <w:r w:rsidRPr="007534B8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alanine aminotransferase (ALT) in particular as well as </w:t>
      </w:r>
      <w:r w:rsidRPr="007534B8">
        <w:rPr>
          <w:sz w:val="22"/>
          <w:szCs w:val="22"/>
        </w:rPr>
        <w:t>aspar</w:t>
      </w:r>
      <w:r>
        <w:rPr>
          <w:sz w:val="22"/>
          <w:szCs w:val="22"/>
        </w:rPr>
        <w:t>tate amino transferase (AST).</w:t>
      </w:r>
    </w:p>
    <w:p w14:paraId="5E6455A1" w14:textId="77777777" w:rsidR="00F91A06" w:rsidRPr="007534B8" w:rsidRDefault="00F91A06" w:rsidP="00FF2192">
      <w:pPr>
        <w:numPr>
          <w:ilvl w:val="0"/>
          <w:numId w:val="8"/>
        </w:numPr>
        <w:spacing w:line="240" w:lineRule="exact"/>
        <w:ind w:hanging="357"/>
        <w:rPr>
          <w:color w:val="000000"/>
          <w:sz w:val="22"/>
          <w:szCs w:val="22"/>
        </w:rPr>
      </w:pPr>
      <w:r w:rsidRPr="007534B8">
        <w:rPr>
          <w:color w:val="000000"/>
          <w:sz w:val="22"/>
          <w:szCs w:val="22"/>
        </w:rPr>
        <w:t>Serum LDH levels may be useful in the following conditions, where levels are usually very high:</w:t>
      </w:r>
    </w:p>
    <w:p w14:paraId="4A35DD93" w14:textId="77777777" w:rsidR="00F91A06" w:rsidRPr="007534B8" w:rsidRDefault="00F91A06" w:rsidP="00FF2192">
      <w:pPr>
        <w:numPr>
          <w:ilvl w:val="1"/>
          <w:numId w:val="8"/>
        </w:numPr>
        <w:spacing w:line="240" w:lineRule="exact"/>
        <w:ind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Follow up of known h</w:t>
      </w:r>
      <w:r w:rsidRPr="007534B8">
        <w:rPr>
          <w:color w:val="000000"/>
          <w:sz w:val="22"/>
          <w:szCs w:val="22"/>
        </w:rPr>
        <w:t>ematological malignancies and some forms of solid tumors; either during therapy or to help assess prognosis</w:t>
      </w:r>
      <w:r>
        <w:rPr>
          <w:color w:val="000000"/>
          <w:sz w:val="22"/>
          <w:szCs w:val="22"/>
        </w:rPr>
        <w:t>;</w:t>
      </w:r>
      <w:r w:rsidRPr="007534B8">
        <w:rPr>
          <w:color w:val="000000"/>
          <w:sz w:val="22"/>
          <w:szCs w:val="22"/>
        </w:rPr>
        <w:t xml:space="preserve"> </w:t>
      </w:r>
    </w:p>
    <w:p w14:paraId="0F823350" w14:textId="77777777" w:rsidR="00F91A06" w:rsidRPr="007534B8" w:rsidRDefault="00F91A06" w:rsidP="00FF2192">
      <w:pPr>
        <w:numPr>
          <w:ilvl w:val="1"/>
          <w:numId w:val="8"/>
        </w:numPr>
        <w:spacing w:line="240" w:lineRule="exact"/>
        <w:ind w:hanging="357"/>
        <w:rPr>
          <w:color w:val="000000"/>
          <w:sz w:val="22"/>
          <w:szCs w:val="22"/>
        </w:rPr>
      </w:pPr>
      <w:r w:rsidRPr="007534B8">
        <w:rPr>
          <w:color w:val="000000"/>
          <w:sz w:val="22"/>
          <w:szCs w:val="22"/>
        </w:rPr>
        <w:t>In the diagnosis and follow up of hemolytic anemia.</w:t>
      </w:r>
    </w:p>
    <w:p w14:paraId="10F72E8D" w14:textId="77777777" w:rsidR="00F91A06" w:rsidRPr="007534B8" w:rsidRDefault="00F91A06" w:rsidP="007534B8">
      <w:pPr>
        <w:spacing w:before="99" w:after="99"/>
        <w:ind w:left="720"/>
        <w:rPr>
          <w:color w:val="000000"/>
          <w:sz w:val="22"/>
          <w:szCs w:val="22"/>
        </w:rPr>
      </w:pPr>
      <w:r w:rsidRPr="007534B8">
        <w:rPr>
          <w:color w:val="000000"/>
          <w:sz w:val="22"/>
          <w:szCs w:val="22"/>
        </w:rPr>
        <w:t xml:space="preserve">In any of these cases however LDH </w:t>
      </w:r>
      <w:r>
        <w:rPr>
          <w:color w:val="000000"/>
          <w:sz w:val="22"/>
          <w:szCs w:val="22"/>
        </w:rPr>
        <w:t xml:space="preserve">is </w:t>
      </w:r>
      <w:r w:rsidRPr="007534B8">
        <w:rPr>
          <w:color w:val="000000"/>
          <w:sz w:val="22"/>
          <w:szCs w:val="22"/>
        </w:rPr>
        <w:t xml:space="preserve">not </w:t>
      </w:r>
      <w:r>
        <w:rPr>
          <w:color w:val="000000"/>
          <w:sz w:val="22"/>
          <w:szCs w:val="22"/>
        </w:rPr>
        <w:t xml:space="preserve">to </w:t>
      </w:r>
      <w:r w:rsidRPr="007534B8">
        <w:rPr>
          <w:color w:val="000000"/>
          <w:sz w:val="22"/>
          <w:szCs w:val="22"/>
        </w:rPr>
        <w:t>be used in isolation to determine further management.</w:t>
      </w:r>
    </w:p>
    <w:p w14:paraId="75C18A52" w14:textId="77777777" w:rsidR="00F91A06" w:rsidRPr="007534B8" w:rsidRDefault="00F91A06" w:rsidP="00923667">
      <w:pPr>
        <w:numPr>
          <w:ilvl w:val="0"/>
          <w:numId w:val="8"/>
        </w:numPr>
        <w:spacing w:before="99" w:after="99"/>
        <w:rPr>
          <w:rFonts w:cs="Helvetic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LDH is currently overused by</w:t>
      </w:r>
      <w:r w:rsidRPr="007534B8">
        <w:rPr>
          <w:color w:val="000000"/>
          <w:sz w:val="22"/>
          <w:szCs w:val="22"/>
        </w:rPr>
        <w:t xml:space="preserve"> physicians. Our data show approximately 50,000 requests are made yearly, the majority of which come from Primary Care</w:t>
      </w:r>
      <w:r w:rsidRPr="007534B8">
        <w:rPr>
          <w:rFonts w:cs="Helvetica"/>
          <w:color w:val="000000"/>
          <w:sz w:val="22"/>
          <w:szCs w:val="22"/>
        </w:rPr>
        <w:t>.</w:t>
      </w:r>
    </w:p>
    <w:p w14:paraId="1CE46759" w14:textId="0AF7DB7A" w:rsidR="00F91A06" w:rsidRPr="007534B8" w:rsidRDefault="00F91A06" w:rsidP="00CF2B3E">
      <w:pPr>
        <w:spacing w:before="99" w:after="99"/>
        <w:rPr>
          <w:color w:val="000000"/>
          <w:sz w:val="22"/>
          <w:szCs w:val="22"/>
        </w:rPr>
      </w:pPr>
      <w:r w:rsidRPr="007534B8">
        <w:rPr>
          <w:color w:val="000000"/>
          <w:sz w:val="22"/>
          <w:szCs w:val="22"/>
        </w:rPr>
        <w:t>We therefore kindly urge you to take these points into consideration since they entail both patient risk and utilization issues.</w:t>
      </w:r>
      <w:r>
        <w:rPr>
          <w:color w:val="000000"/>
          <w:sz w:val="22"/>
          <w:szCs w:val="22"/>
        </w:rPr>
        <w:t xml:space="preserve"> </w:t>
      </w:r>
      <w:r w:rsidRPr="007534B8">
        <w:rPr>
          <w:color w:val="000000"/>
          <w:sz w:val="22"/>
          <w:szCs w:val="22"/>
        </w:rPr>
        <w:t xml:space="preserve">If you have further questions, please contact </w:t>
      </w:r>
      <w:r>
        <w:rPr>
          <w:color w:val="000000"/>
          <w:sz w:val="22"/>
          <w:szCs w:val="22"/>
        </w:rPr>
        <w:t>Dr</w:t>
      </w:r>
    </w:p>
    <w:p w14:paraId="015D890B" w14:textId="77777777" w:rsidR="00F91A06" w:rsidRPr="007534B8" w:rsidRDefault="00F91A06" w:rsidP="00DE2B97">
      <w:pPr>
        <w:jc w:val="both"/>
        <w:rPr>
          <w:color w:val="000000"/>
          <w:sz w:val="22"/>
          <w:szCs w:val="22"/>
        </w:rPr>
      </w:pPr>
    </w:p>
    <w:p w14:paraId="7C5F17F3" w14:textId="0398761D" w:rsidR="00F91A06" w:rsidRPr="00FF2192" w:rsidRDefault="00F91A06" w:rsidP="00FF2192">
      <w:pPr>
        <w:jc w:val="both"/>
        <w:rPr>
          <w:color w:val="000000"/>
          <w:sz w:val="20"/>
          <w:szCs w:val="20"/>
        </w:rPr>
      </w:pPr>
    </w:p>
    <w:sectPr w:rsidR="00F91A06" w:rsidRPr="00FF2192" w:rsidSect="00D0467F">
      <w:pgSz w:w="12240" w:h="15840" w:code="5"/>
      <w:pgMar w:top="851" w:right="902" w:bottom="425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B17B" w14:textId="77777777" w:rsidR="006D10FF" w:rsidRDefault="006D10FF" w:rsidP="00127E77">
      <w:r>
        <w:separator/>
      </w:r>
    </w:p>
  </w:endnote>
  <w:endnote w:type="continuationSeparator" w:id="0">
    <w:p w14:paraId="0F360652" w14:textId="77777777" w:rsidR="006D10FF" w:rsidRDefault="006D10FF" w:rsidP="001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6EBB" w14:textId="77777777" w:rsidR="006D10FF" w:rsidRDefault="006D10FF" w:rsidP="00127E77">
      <w:r>
        <w:separator/>
      </w:r>
    </w:p>
  </w:footnote>
  <w:footnote w:type="continuationSeparator" w:id="0">
    <w:p w14:paraId="32C2B615" w14:textId="77777777" w:rsidR="006D10FF" w:rsidRDefault="006D10FF" w:rsidP="0012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5D93"/>
    <w:multiLevelType w:val="hybridMultilevel"/>
    <w:tmpl w:val="4280BB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040911"/>
    <w:multiLevelType w:val="hybridMultilevel"/>
    <w:tmpl w:val="A0F0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C6372"/>
    <w:multiLevelType w:val="hybridMultilevel"/>
    <w:tmpl w:val="C9CE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5FD7"/>
    <w:multiLevelType w:val="hybridMultilevel"/>
    <w:tmpl w:val="22B2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D3F20"/>
    <w:multiLevelType w:val="hybridMultilevel"/>
    <w:tmpl w:val="DD0EDD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923E5"/>
    <w:multiLevelType w:val="hybridMultilevel"/>
    <w:tmpl w:val="45BE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AD1254"/>
    <w:multiLevelType w:val="hybridMultilevel"/>
    <w:tmpl w:val="F3B4F840"/>
    <w:lvl w:ilvl="0" w:tplc="6EC6F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4F1040"/>
    <w:multiLevelType w:val="hybridMultilevel"/>
    <w:tmpl w:val="1A42B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42077">
    <w:abstractNumId w:val="2"/>
  </w:num>
  <w:num w:numId="2" w16cid:durableId="151336447">
    <w:abstractNumId w:val="0"/>
  </w:num>
  <w:num w:numId="3" w16cid:durableId="486359716">
    <w:abstractNumId w:val="7"/>
  </w:num>
  <w:num w:numId="4" w16cid:durableId="1488283386">
    <w:abstractNumId w:val="3"/>
  </w:num>
  <w:num w:numId="5" w16cid:durableId="1018895529">
    <w:abstractNumId w:val="4"/>
  </w:num>
  <w:num w:numId="6" w16cid:durableId="79644353">
    <w:abstractNumId w:val="6"/>
  </w:num>
  <w:num w:numId="7" w16cid:durableId="1512797574">
    <w:abstractNumId w:val="5"/>
  </w:num>
  <w:num w:numId="8" w16cid:durableId="140398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7F4"/>
    <w:rsid w:val="000077F4"/>
    <w:rsid w:val="0002468C"/>
    <w:rsid w:val="00030F64"/>
    <w:rsid w:val="00040390"/>
    <w:rsid w:val="00044E1D"/>
    <w:rsid w:val="000472D6"/>
    <w:rsid w:val="00047A38"/>
    <w:rsid w:val="0005440D"/>
    <w:rsid w:val="00063DCA"/>
    <w:rsid w:val="0006643B"/>
    <w:rsid w:val="00080F57"/>
    <w:rsid w:val="0009200D"/>
    <w:rsid w:val="000924E4"/>
    <w:rsid w:val="000A1D49"/>
    <w:rsid w:val="000A5190"/>
    <w:rsid w:val="000B022E"/>
    <w:rsid w:val="000B7D5F"/>
    <w:rsid w:val="000D6746"/>
    <w:rsid w:val="00114CD9"/>
    <w:rsid w:val="00124A9B"/>
    <w:rsid w:val="0012751D"/>
    <w:rsid w:val="00127E77"/>
    <w:rsid w:val="00143366"/>
    <w:rsid w:val="001478C6"/>
    <w:rsid w:val="001634B0"/>
    <w:rsid w:val="001634C6"/>
    <w:rsid w:val="00165E0D"/>
    <w:rsid w:val="0017152C"/>
    <w:rsid w:val="00187FC8"/>
    <w:rsid w:val="001A246F"/>
    <w:rsid w:val="001B5E7F"/>
    <w:rsid w:val="001C3536"/>
    <w:rsid w:val="001C633A"/>
    <w:rsid w:val="001D4463"/>
    <w:rsid w:val="001E3865"/>
    <w:rsid w:val="002009B1"/>
    <w:rsid w:val="00200DA9"/>
    <w:rsid w:val="00212855"/>
    <w:rsid w:val="00215A40"/>
    <w:rsid w:val="00221D7B"/>
    <w:rsid w:val="002300B1"/>
    <w:rsid w:val="00233D26"/>
    <w:rsid w:val="00244E67"/>
    <w:rsid w:val="00261F11"/>
    <w:rsid w:val="002626AB"/>
    <w:rsid w:val="00267073"/>
    <w:rsid w:val="00270909"/>
    <w:rsid w:val="002747D4"/>
    <w:rsid w:val="0027700E"/>
    <w:rsid w:val="0028205E"/>
    <w:rsid w:val="002921E9"/>
    <w:rsid w:val="002A3187"/>
    <w:rsid w:val="002D300D"/>
    <w:rsid w:val="002D54E7"/>
    <w:rsid w:val="002E3347"/>
    <w:rsid w:val="002E4559"/>
    <w:rsid w:val="00300136"/>
    <w:rsid w:val="00307D4F"/>
    <w:rsid w:val="00321D12"/>
    <w:rsid w:val="0032347F"/>
    <w:rsid w:val="00323A5F"/>
    <w:rsid w:val="003277D5"/>
    <w:rsid w:val="00355D3C"/>
    <w:rsid w:val="00357528"/>
    <w:rsid w:val="003611ED"/>
    <w:rsid w:val="00381EAD"/>
    <w:rsid w:val="0038627A"/>
    <w:rsid w:val="00387A8C"/>
    <w:rsid w:val="003909FD"/>
    <w:rsid w:val="0039245B"/>
    <w:rsid w:val="00397F7F"/>
    <w:rsid w:val="003A0E05"/>
    <w:rsid w:val="003A4EE7"/>
    <w:rsid w:val="003A6663"/>
    <w:rsid w:val="003E4B47"/>
    <w:rsid w:val="003F2BE9"/>
    <w:rsid w:val="003F2EED"/>
    <w:rsid w:val="003F50EB"/>
    <w:rsid w:val="003F56DF"/>
    <w:rsid w:val="00402C6A"/>
    <w:rsid w:val="00422F42"/>
    <w:rsid w:val="00425DE1"/>
    <w:rsid w:val="004275EF"/>
    <w:rsid w:val="00427C57"/>
    <w:rsid w:val="00432BC7"/>
    <w:rsid w:val="00450E02"/>
    <w:rsid w:val="00452103"/>
    <w:rsid w:val="00452757"/>
    <w:rsid w:val="00484382"/>
    <w:rsid w:val="00493096"/>
    <w:rsid w:val="004977B4"/>
    <w:rsid w:val="004A6230"/>
    <w:rsid w:val="004B16CB"/>
    <w:rsid w:val="004B1F65"/>
    <w:rsid w:val="004B68DE"/>
    <w:rsid w:val="004C5581"/>
    <w:rsid w:val="004D3AE6"/>
    <w:rsid w:val="004E245A"/>
    <w:rsid w:val="00500AB5"/>
    <w:rsid w:val="00507106"/>
    <w:rsid w:val="0051681D"/>
    <w:rsid w:val="005207A8"/>
    <w:rsid w:val="00520DF1"/>
    <w:rsid w:val="005233CC"/>
    <w:rsid w:val="00526BBF"/>
    <w:rsid w:val="005304D4"/>
    <w:rsid w:val="0053138D"/>
    <w:rsid w:val="00531FED"/>
    <w:rsid w:val="00582A96"/>
    <w:rsid w:val="00597E69"/>
    <w:rsid w:val="005A1BE1"/>
    <w:rsid w:val="005A3D4A"/>
    <w:rsid w:val="005B0BDD"/>
    <w:rsid w:val="005B5763"/>
    <w:rsid w:val="005C1429"/>
    <w:rsid w:val="005F6CB2"/>
    <w:rsid w:val="00612D6E"/>
    <w:rsid w:val="00613B67"/>
    <w:rsid w:val="00621961"/>
    <w:rsid w:val="006308E9"/>
    <w:rsid w:val="00633D0B"/>
    <w:rsid w:val="0064354D"/>
    <w:rsid w:val="006560A2"/>
    <w:rsid w:val="00661388"/>
    <w:rsid w:val="006734FC"/>
    <w:rsid w:val="006908AE"/>
    <w:rsid w:val="006A467A"/>
    <w:rsid w:val="006A5E48"/>
    <w:rsid w:val="006B0400"/>
    <w:rsid w:val="006B1E17"/>
    <w:rsid w:val="006C2FBC"/>
    <w:rsid w:val="006D10FF"/>
    <w:rsid w:val="006D15DA"/>
    <w:rsid w:val="0071577D"/>
    <w:rsid w:val="007236A8"/>
    <w:rsid w:val="00732ED8"/>
    <w:rsid w:val="00742D39"/>
    <w:rsid w:val="007442C2"/>
    <w:rsid w:val="007534B8"/>
    <w:rsid w:val="007667BD"/>
    <w:rsid w:val="007A0664"/>
    <w:rsid w:val="007B1412"/>
    <w:rsid w:val="007B1AFB"/>
    <w:rsid w:val="007B2EC2"/>
    <w:rsid w:val="007C18D8"/>
    <w:rsid w:val="007C206F"/>
    <w:rsid w:val="007D0535"/>
    <w:rsid w:val="007D3913"/>
    <w:rsid w:val="007E4B8B"/>
    <w:rsid w:val="007F1C37"/>
    <w:rsid w:val="007F4D15"/>
    <w:rsid w:val="00803D94"/>
    <w:rsid w:val="00841AE6"/>
    <w:rsid w:val="00847E23"/>
    <w:rsid w:val="008623EA"/>
    <w:rsid w:val="00866CC2"/>
    <w:rsid w:val="00870ACE"/>
    <w:rsid w:val="00876774"/>
    <w:rsid w:val="008A3E60"/>
    <w:rsid w:val="008A6791"/>
    <w:rsid w:val="008C4895"/>
    <w:rsid w:val="008D64E4"/>
    <w:rsid w:val="008E06C9"/>
    <w:rsid w:val="008E1F1C"/>
    <w:rsid w:val="008E1F3D"/>
    <w:rsid w:val="008E5FA9"/>
    <w:rsid w:val="008E61BF"/>
    <w:rsid w:val="008F01E0"/>
    <w:rsid w:val="008F29B7"/>
    <w:rsid w:val="008F5364"/>
    <w:rsid w:val="00903188"/>
    <w:rsid w:val="00911827"/>
    <w:rsid w:val="00923667"/>
    <w:rsid w:val="00924516"/>
    <w:rsid w:val="00932594"/>
    <w:rsid w:val="00935E0E"/>
    <w:rsid w:val="00941F04"/>
    <w:rsid w:val="00947235"/>
    <w:rsid w:val="009505F0"/>
    <w:rsid w:val="00962B2A"/>
    <w:rsid w:val="00964F75"/>
    <w:rsid w:val="00973EAE"/>
    <w:rsid w:val="0097512D"/>
    <w:rsid w:val="009836F1"/>
    <w:rsid w:val="009869E8"/>
    <w:rsid w:val="00987EF1"/>
    <w:rsid w:val="009C4946"/>
    <w:rsid w:val="009C4F35"/>
    <w:rsid w:val="009E4198"/>
    <w:rsid w:val="009F0116"/>
    <w:rsid w:val="009F08FE"/>
    <w:rsid w:val="009F3CE2"/>
    <w:rsid w:val="00A04534"/>
    <w:rsid w:val="00A10B23"/>
    <w:rsid w:val="00A2664E"/>
    <w:rsid w:val="00A309AA"/>
    <w:rsid w:val="00A34ADF"/>
    <w:rsid w:val="00A34DD0"/>
    <w:rsid w:val="00A3675A"/>
    <w:rsid w:val="00A50828"/>
    <w:rsid w:val="00A61EB0"/>
    <w:rsid w:val="00A64929"/>
    <w:rsid w:val="00A70861"/>
    <w:rsid w:val="00A72DF2"/>
    <w:rsid w:val="00A9177B"/>
    <w:rsid w:val="00A937ED"/>
    <w:rsid w:val="00AA1BB7"/>
    <w:rsid w:val="00AA43C5"/>
    <w:rsid w:val="00AA5785"/>
    <w:rsid w:val="00AB5443"/>
    <w:rsid w:val="00AC52DB"/>
    <w:rsid w:val="00AD0174"/>
    <w:rsid w:val="00AD3B4A"/>
    <w:rsid w:val="00AE6EF6"/>
    <w:rsid w:val="00AF71A9"/>
    <w:rsid w:val="00B152B1"/>
    <w:rsid w:val="00B3530A"/>
    <w:rsid w:val="00B4029F"/>
    <w:rsid w:val="00B503C5"/>
    <w:rsid w:val="00B55F53"/>
    <w:rsid w:val="00B63C30"/>
    <w:rsid w:val="00B65227"/>
    <w:rsid w:val="00B74AF2"/>
    <w:rsid w:val="00B83123"/>
    <w:rsid w:val="00B83C99"/>
    <w:rsid w:val="00B921E3"/>
    <w:rsid w:val="00B95213"/>
    <w:rsid w:val="00B954A9"/>
    <w:rsid w:val="00BA0F1D"/>
    <w:rsid w:val="00BA495C"/>
    <w:rsid w:val="00BA4FF6"/>
    <w:rsid w:val="00BB36F4"/>
    <w:rsid w:val="00BB7C49"/>
    <w:rsid w:val="00BC511E"/>
    <w:rsid w:val="00BC5C97"/>
    <w:rsid w:val="00BD6230"/>
    <w:rsid w:val="00BD7508"/>
    <w:rsid w:val="00BE0E55"/>
    <w:rsid w:val="00BE3356"/>
    <w:rsid w:val="00BE518E"/>
    <w:rsid w:val="00BE77A4"/>
    <w:rsid w:val="00C07686"/>
    <w:rsid w:val="00C25A5A"/>
    <w:rsid w:val="00C262E6"/>
    <w:rsid w:val="00C33564"/>
    <w:rsid w:val="00C34EAA"/>
    <w:rsid w:val="00C44094"/>
    <w:rsid w:val="00C44D1C"/>
    <w:rsid w:val="00C62C30"/>
    <w:rsid w:val="00C6487A"/>
    <w:rsid w:val="00C70A70"/>
    <w:rsid w:val="00C90C25"/>
    <w:rsid w:val="00CB65BF"/>
    <w:rsid w:val="00CB6E33"/>
    <w:rsid w:val="00CC6BDF"/>
    <w:rsid w:val="00CD3452"/>
    <w:rsid w:val="00CE641C"/>
    <w:rsid w:val="00CE71DA"/>
    <w:rsid w:val="00CF2B3E"/>
    <w:rsid w:val="00CF4D3D"/>
    <w:rsid w:val="00D00CFE"/>
    <w:rsid w:val="00D0467F"/>
    <w:rsid w:val="00D1311C"/>
    <w:rsid w:val="00D27522"/>
    <w:rsid w:val="00D36F1B"/>
    <w:rsid w:val="00D442FA"/>
    <w:rsid w:val="00D5789F"/>
    <w:rsid w:val="00D60F4F"/>
    <w:rsid w:val="00D658EC"/>
    <w:rsid w:val="00D66F81"/>
    <w:rsid w:val="00D719E3"/>
    <w:rsid w:val="00D93875"/>
    <w:rsid w:val="00DA6BC7"/>
    <w:rsid w:val="00DB2B0E"/>
    <w:rsid w:val="00DB4D8B"/>
    <w:rsid w:val="00DC0B8C"/>
    <w:rsid w:val="00DC1DC5"/>
    <w:rsid w:val="00DD568B"/>
    <w:rsid w:val="00DD6DD9"/>
    <w:rsid w:val="00DE0904"/>
    <w:rsid w:val="00DE2B97"/>
    <w:rsid w:val="00DE63DB"/>
    <w:rsid w:val="00DE7A33"/>
    <w:rsid w:val="00DF57D9"/>
    <w:rsid w:val="00DF6295"/>
    <w:rsid w:val="00DF7BD0"/>
    <w:rsid w:val="00E0129D"/>
    <w:rsid w:val="00E04798"/>
    <w:rsid w:val="00E30BEA"/>
    <w:rsid w:val="00E428F1"/>
    <w:rsid w:val="00E52100"/>
    <w:rsid w:val="00E5351C"/>
    <w:rsid w:val="00E718B4"/>
    <w:rsid w:val="00E764A9"/>
    <w:rsid w:val="00EA3CAB"/>
    <w:rsid w:val="00EA60B5"/>
    <w:rsid w:val="00EA7411"/>
    <w:rsid w:val="00EB686D"/>
    <w:rsid w:val="00EC6ADD"/>
    <w:rsid w:val="00F33CFB"/>
    <w:rsid w:val="00F352CF"/>
    <w:rsid w:val="00F37D51"/>
    <w:rsid w:val="00F41E46"/>
    <w:rsid w:val="00F4423D"/>
    <w:rsid w:val="00F7060A"/>
    <w:rsid w:val="00F82498"/>
    <w:rsid w:val="00F91A06"/>
    <w:rsid w:val="00F927CD"/>
    <w:rsid w:val="00FA3CA7"/>
    <w:rsid w:val="00FB4684"/>
    <w:rsid w:val="00FD43DF"/>
    <w:rsid w:val="00FE2C71"/>
    <w:rsid w:val="00FF2192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0E963"/>
  <w15:docId w15:val="{C73C4105-FD0C-4641-8384-8ADACA27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A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478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3C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83C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83C99"/>
    <w:rPr>
      <w:rFonts w:ascii="Calibri" w:hAnsi="Calibri" w:cs="Times New Roman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6908AE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character" w:styleId="Hyperlink">
    <w:name w:val="Hyperlink"/>
    <w:uiPriority w:val="99"/>
    <w:rsid w:val="006908A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908A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908AE"/>
    <w:rPr>
      <w:b/>
      <w:bCs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B83C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7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3C99"/>
    <w:rPr>
      <w:rFonts w:cs="Times New Roman"/>
      <w:sz w:val="2"/>
    </w:rPr>
  </w:style>
  <w:style w:type="paragraph" w:customStyle="1" w:styleId="Default">
    <w:name w:val="Default"/>
    <w:uiPriority w:val="99"/>
    <w:rsid w:val="00452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7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27E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7E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27E7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14C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83C99"/>
    <w:rPr>
      <w:rFonts w:cs="Times New Roman"/>
      <w:sz w:val="2"/>
    </w:rPr>
  </w:style>
  <w:style w:type="character" w:customStyle="1" w:styleId="ltdspecrequired">
    <w:name w:val="ltd_spec_required"/>
    <w:uiPriority w:val="99"/>
    <w:rsid w:val="00215A40"/>
    <w:rPr>
      <w:rFonts w:cs="Times New Roman"/>
    </w:rPr>
  </w:style>
  <w:style w:type="character" w:customStyle="1" w:styleId="ltdspecrequiredlabel">
    <w:name w:val="ltd_spec_required_label"/>
    <w:uiPriority w:val="99"/>
    <w:rsid w:val="00215A40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3D0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27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27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27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Clinical Chemistry</vt:lpstr>
    </vt:vector>
  </TitlesOfParts>
  <Company>CDHA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Clinical Chemistry</dc:title>
  <dc:subject/>
  <dc:creator>CDHA</dc:creator>
  <cp:keywords/>
  <dc:description/>
  <cp:lastModifiedBy>Elnenaei, Manal</cp:lastModifiedBy>
  <cp:revision>3</cp:revision>
  <cp:lastPrinted>2014-03-12T15:08:00Z</cp:lastPrinted>
  <dcterms:created xsi:type="dcterms:W3CDTF">2014-03-12T15:12:00Z</dcterms:created>
  <dcterms:modified xsi:type="dcterms:W3CDTF">2023-02-21T15:51:00Z</dcterms:modified>
</cp:coreProperties>
</file>